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ind w:firstLine="0" w:firstLineChars="0"/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bookmarkStart w:id="0" w:name="_Hlk533590101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2023年广州市第二少年宫钢楼梯振动监测与安全评估服务项目</w:t>
      </w:r>
    </w:p>
    <w:p>
      <w:pPr>
        <w:spacing w:line="240" w:lineRule="auto"/>
        <w:ind w:firstLine="0" w:firstLineChars="0"/>
        <w:jc w:val="center"/>
        <w:rPr>
          <w:rFonts w:cs="仿宋_GB2312" w:asciiTheme="minorEastAsia" w:hAnsiTheme="minorEastAsia" w:eastAsiaTheme="minorEastAsia"/>
          <w:sz w:val="40"/>
          <w:szCs w:val="40"/>
        </w:rPr>
      </w:pPr>
      <w:r>
        <w:rPr>
          <w:rFonts w:hint="eastAsia" w:cs="仿宋_GB2312" w:asciiTheme="minorEastAsia" w:hAnsiTheme="minorEastAsia" w:eastAsiaTheme="minorEastAsia"/>
          <w:sz w:val="40"/>
          <w:szCs w:val="40"/>
        </w:rPr>
        <w:t>采购需求清单</w:t>
      </w:r>
    </w:p>
    <w:p>
      <w:pPr>
        <w:pStyle w:val="5"/>
        <w:widowControl/>
        <w:spacing w:line="520" w:lineRule="exact"/>
        <w:ind w:firstLine="0" w:firstLineChars="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各单位：</w:t>
      </w:r>
    </w:p>
    <w:p>
      <w:pPr>
        <w:spacing w:line="520" w:lineRule="exact"/>
        <w:ind w:firstLine="640"/>
        <w:jc w:val="left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本单位就“2023年广州市第二少年宫钢楼梯振动监测与安全评估服务”进行询价，请合格的供应商按要求予以报价。</w:t>
      </w:r>
    </w:p>
    <w:p>
      <w:pPr>
        <w:widowControl/>
        <w:numPr>
          <w:ilvl w:val="0"/>
          <w:numId w:val="1"/>
        </w:numPr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项目范围和要求：</w:t>
      </w:r>
    </w:p>
    <w:tbl>
      <w:tblPr>
        <w:tblStyle w:val="7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507"/>
        <w:gridCol w:w="2353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Cs w:val="32"/>
              </w:rPr>
              <w:t>序</w:t>
            </w:r>
          </w:p>
        </w:tc>
        <w:tc>
          <w:tcPr>
            <w:tcW w:w="3507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Cs w:val="32"/>
              </w:rPr>
              <w:t>项目</w:t>
            </w:r>
          </w:p>
        </w:tc>
        <w:tc>
          <w:tcPr>
            <w:tcW w:w="2353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Cs w:val="32"/>
              </w:rPr>
              <w:t>建筑面积（㎡）</w:t>
            </w:r>
          </w:p>
        </w:tc>
        <w:tc>
          <w:tcPr>
            <w:tcW w:w="2488" w:type="dxa"/>
            <w:vAlign w:val="center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Cs w:val="32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cs="仿宋_GB2312" w:asciiTheme="minorEastAsia" w:hAnsiTheme="minorEastAsia" w:eastAsiaTheme="minorEastAsia"/>
                <w:szCs w:val="32"/>
              </w:rPr>
              <w:t>1</w:t>
            </w:r>
          </w:p>
        </w:tc>
        <w:tc>
          <w:tcPr>
            <w:tcW w:w="3507" w:type="dxa"/>
            <w:vMerge w:val="restart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eastAsiaTheme="majorEastAsia"/>
                <w:color w:val="000000"/>
                <w:kern w:val="0"/>
                <w:sz w:val="24"/>
              </w:rPr>
            </w:pPr>
            <w:r>
              <w:rPr>
                <w:rFonts w:hint="eastAsia" w:eastAsiaTheme="majorEastAsia"/>
                <w:color w:val="000000"/>
                <w:kern w:val="0"/>
                <w:sz w:val="24"/>
              </w:rPr>
              <w:t>广州市少年宫二宫</w:t>
            </w:r>
          </w:p>
          <w:p>
            <w:pPr>
              <w:pStyle w:val="2"/>
              <w:spacing w:line="40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eastAsiaTheme="majorEastAsia"/>
                <w:color w:val="000000"/>
                <w:kern w:val="0"/>
                <w:sz w:val="24"/>
              </w:rPr>
              <w:t>地址：</w:t>
            </w:r>
            <w:r>
              <w:rPr>
                <w:rFonts w:eastAsiaTheme="majorEastAsia"/>
                <w:color w:val="000000"/>
                <w:kern w:val="0"/>
                <w:sz w:val="24"/>
              </w:rPr>
              <w:t>广州市天河区华就路273号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  <w:r>
              <w:rPr>
                <w:rFonts w:hint="eastAsia" w:cs="仿宋_GB2312" w:asciiTheme="minorEastAsia" w:hAnsiTheme="minorEastAsia" w:eastAsiaTheme="minorEastAsia"/>
                <w:szCs w:val="32"/>
              </w:rPr>
              <w:t>45887</w:t>
            </w:r>
          </w:p>
        </w:tc>
        <w:tc>
          <w:tcPr>
            <w:tcW w:w="2488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Theme="majorEastAsia"/>
                <w:color w:val="000000"/>
                <w:kern w:val="0"/>
                <w:sz w:val="24"/>
              </w:rPr>
            </w:pPr>
            <w:r>
              <w:rPr>
                <w:rFonts w:hint="eastAsia" w:eastAsiaTheme="majorEastAsia"/>
                <w:color w:val="000000"/>
                <w:kern w:val="0"/>
                <w:sz w:val="24"/>
              </w:rPr>
              <w:t>人致钢楼梯振动振源监测及分析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</w:p>
        </w:tc>
        <w:tc>
          <w:tcPr>
            <w:tcW w:w="3507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Cs w:val="32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Theme="majorEastAsia"/>
                <w:color w:val="000000"/>
                <w:kern w:val="0"/>
                <w:sz w:val="24"/>
              </w:rPr>
            </w:pPr>
            <w:r>
              <w:rPr>
                <w:rFonts w:hint="eastAsia" w:eastAsiaTheme="majorEastAsia"/>
                <w:color w:val="000000"/>
                <w:kern w:val="0"/>
                <w:sz w:val="24"/>
              </w:rPr>
              <w:t>钢楼梯低阶模态测试及分析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</w:p>
        </w:tc>
        <w:tc>
          <w:tcPr>
            <w:tcW w:w="3507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cs="仿宋_GB2312" w:asciiTheme="minorEastAsia" w:hAnsiTheme="minorEastAsia" w:eastAsiaTheme="minorEastAsia"/>
                <w:szCs w:val="32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Cs w:val="32"/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eastAsiaTheme="majorEastAsia"/>
                <w:color w:val="000000"/>
                <w:kern w:val="0"/>
                <w:sz w:val="24"/>
              </w:rPr>
            </w:pPr>
            <w:r>
              <w:rPr>
                <w:rFonts w:hint="eastAsia" w:eastAsiaTheme="majorEastAsia"/>
                <w:color w:val="000000"/>
                <w:kern w:val="0"/>
                <w:sz w:val="24"/>
              </w:rPr>
              <w:t>钢楼梯安全评估分析</w:t>
            </w:r>
          </w:p>
        </w:tc>
      </w:tr>
    </w:tbl>
    <w:p>
      <w:pPr>
        <w:widowControl/>
        <w:spacing w:line="520" w:lineRule="exact"/>
        <w:ind w:firstLine="0" w:firstLineChars="0"/>
        <w:textAlignment w:val="center"/>
        <w:rPr>
          <w:rFonts w:cs="仿宋_GB2312" w:asciiTheme="minorEastAsia" w:hAnsiTheme="minorEastAsia" w:eastAsiaTheme="minorEastAsia"/>
          <w:szCs w:val="32"/>
        </w:rPr>
      </w:pPr>
    </w:p>
    <w:bookmarkEnd w:id="0"/>
    <w:p>
      <w:pPr>
        <w:pStyle w:val="5"/>
        <w:widowControl/>
        <w:spacing w:line="520" w:lineRule="exact"/>
        <w:ind w:firstLine="640"/>
        <w:rPr>
          <w:rFonts w:cs="仿宋_GB2312"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二</w:t>
      </w:r>
      <w:r>
        <w:rPr>
          <w:rFonts w:hint="eastAsia" w:ascii="黑体" w:hAnsi="黑体" w:eastAsia="黑体" w:cs="黑体"/>
          <w:kern w:val="2"/>
          <w:sz w:val="32"/>
          <w:szCs w:val="32"/>
        </w:rPr>
        <w:t>、项目内容</w:t>
      </w:r>
    </w:p>
    <w:p>
      <w:pPr>
        <w:pStyle w:val="2"/>
        <w:spacing w:line="520" w:lineRule="exact"/>
        <w:ind w:firstLine="320" w:firstLineChars="10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（1）获取人流量最多的工况下广州市第二少年宫2-6楼的钢楼梯的振动源强信息（如振幅、振级和特征频率等），并分析人致钢楼梯振动振源现状情况。</w:t>
      </w: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1983"/>
        <w:gridCol w:w="1514"/>
        <w:gridCol w:w="1418"/>
        <w:gridCol w:w="220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9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5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  <w:t>测点数（个）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  <w:t>频次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198" w:firstLineChars="82"/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ajorEastAsia"/>
                <w:b/>
                <w:bCs/>
                <w:color w:val="000000"/>
                <w:kern w:val="0"/>
                <w:sz w:val="24"/>
                <w:szCs w:val="24"/>
              </w:rPr>
              <w:t>规范要求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振动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2楼楼梯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20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GB 50868-2013建筑工程容许振动标准、CJJ69-95城市人行天桥与人行地道技术规范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振动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3楼楼梯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振动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4楼楼梯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振动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5楼楼梯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1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振动</w:t>
            </w:r>
          </w:p>
        </w:tc>
        <w:tc>
          <w:tcPr>
            <w:tcW w:w="19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6楼楼梯</w:t>
            </w:r>
          </w:p>
        </w:tc>
        <w:tc>
          <w:tcPr>
            <w:tcW w:w="15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  <w:r>
              <w:rPr>
                <w:rFonts w:cs="仿宋_GB2312" w:asciiTheme="minorEastAsia" w:hAnsiTheme="minorEastAsia" w:eastAsiaTheme="minorEastAsia"/>
                <w:sz w:val="24"/>
              </w:rPr>
              <w:t>1</w:t>
            </w:r>
          </w:p>
        </w:tc>
        <w:tc>
          <w:tcPr>
            <w:tcW w:w="220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line="400" w:lineRule="exact"/>
              <w:ind w:firstLine="0" w:firstLineChars="0"/>
              <w:jc w:val="center"/>
              <w:rPr>
                <w:rFonts w:cs="仿宋_GB2312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2"/>
        <w:spacing w:line="520" w:lineRule="exact"/>
        <w:ind w:firstLine="320" w:firstLineChars="100"/>
        <w:rPr>
          <w:rFonts w:cs="仿宋_GB2312" w:asciiTheme="minorEastAsia" w:hAnsiTheme="minorEastAsia" w:eastAsiaTheme="minorEastAsia"/>
          <w:szCs w:val="32"/>
        </w:rPr>
      </w:pPr>
    </w:p>
    <w:p>
      <w:pPr>
        <w:numPr>
          <w:ilvl w:val="0"/>
          <w:numId w:val="2"/>
        </w:numPr>
        <w:spacing w:line="520" w:lineRule="exact"/>
        <w:ind w:firstLine="320"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对广州市第二少年宫2-6楼的钢楼梯开展模态测试，得到钢楼梯的第一、二阶竖向模态以及第一阶扭转模态，分析现状情况下钢楼梯低阶模态共振情况，判断钢楼梯的安全隐患。</w:t>
      </w:r>
    </w:p>
    <w:p>
      <w:pPr>
        <w:pStyle w:val="2"/>
        <w:spacing w:line="520" w:lineRule="exact"/>
        <w:ind w:firstLine="640"/>
      </w:pPr>
    </w:p>
    <w:tbl>
      <w:tblPr>
        <w:tblStyle w:val="6"/>
        <w:tblW w:w="82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6"/>
        <w:gridCol w:w="1883"/>
        <w:gridCol w:w="1559"/>
        <w:gridCol w:w="851"/>
        <w:gridCol w:w="234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指标</w:t>
            </w:r>
          </w:p>
        </w:tc>
        <w:tc>
          <w:tcPr>
            <w:tcW w:w="1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位置</w:t>
            </w:r>
          </w:p>
        </w:tc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测点数（个）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0" w:firstLineChars="0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频次</w:t>
            </w:r>
          </w:p>
        </w:tc>
        <w:tc>
          <w:tcPr>
            <w:tcW w:w="23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198" w:firstLineChars="82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  <w:t>规范要求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6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2"/>
              <w:jc w:val="left"/>
              <w:rPr>
                <w:rFonts w:eastAsia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模态测试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2楼楼梯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CJJT 233-2015 城市桥梁检测与评定技术规范</w:t>
            </w:r>
            <w:r>
              <w:rPr>
                <w:rFonts w:eastAsia="宋体"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CJJ69-95城市人行天桥与人行地道技术规范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模态测试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3楼楼梯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模态测试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4楼楼梯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模态测试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5楼楼梯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16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模态测试</w:t>
            </w:r>
          </w:p>
        </w:tc>
        <w:tc>
          <w:tcPr>
            <w:tcW w:w="18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6楼楼梯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20" w:lineRule="exact"/>
              <w:ind w:firstLine="480"/>
              <w:jc w:val="center"/>
              <w:rPr>
                <w:rFonts w:eastAsia="宋体"/>
                <w:color w:val="000000"/>
                <w:kern w:val="0"/>
                <w:sz w:val="24"/>
                <w:szCs w:val="24"/>
              </w:rPr>
            </w:pPr>
            <w:r>
              <w:rPr>
                <w:rFonts w:eastAsia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4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20" w:lineRule="exact"/>
              <w:ind w:firstLine="480"/>
              <w:jc w:val="left"/>
              <w:rPr>
                <w:rFonts w:eastAsia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20" w:lineRule="exact"/>
        <w:ind w:firstLine="0" w:firstLineChars="0"/>
        <w:rPr>
          <w:rFonts w:cs="仿宋_GB2312" w:asciiTheme="minorEastAsia" w:hAnsiTheme="minorEastAsia" w:eastAsiaTheme="minorEastAsia"/>
          <w:b/>
          <w:szCs w:val="32"/>
        </w:rPr>
      </w:pPr>
    </w:p>
    <w:p>
      <w:pPr>
        <w:numPr>
          <w:ilvl w:val="0"/>
          <w:numId w:val="2"/>
        </w:numPr>
        <w:spacing w:line="520" w:lineRule="exact"/>
        <w:ind w:firstLine="320" w:firstLineChars="0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对钢楼梯建立三维有限元模型，并开展基于EBL优化算法的三维有限元模型修正，根据现行国家和行业规范评估现状条件下钢楼梯的安全性，并针对性地提出减振措施及采用三维有限元模型评估其减振效果,并出具《广州市第二少年宫钢楼梯振动监测与安全评估报告》。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6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859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859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钢楼梯建立三维有限元模型建立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859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基于EBL优化算法的三维有限元模型修正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859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钢楼梯安全评估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6859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减振措施制定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37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6859" w:type="dxa"/>
          </w:tcPr>
          <w:p>
            <w:pPr>
              <w:pStyle w:val="2"/>
              <w:spacing w:line="520" w:lineRule="exact"/>
              <w:ind w:firstLine="0" w:firstLineChars="0"/>
              <w:jc w:val="center"/>
              <w:rPr>
                <w:rFonts w:eastAsia="宋体"/>
                <w:color w:val="000000"/>
                <w:kern w:val="0"/>
                <w:sz w:val="24"/>
              </w:rPr>
            </w:pPr>
            <w:r>
              <w:rPr>
                <w:rFonts w:hint="eastAsia" w:eastAsia="宋体"/>
                <w:color w:val="000000"/>
                <w:kern w:val="0"/>
                <w:sz w:val="24"/>
              </w:rPr>
              <w:t>减振措施效果评估</w:t>
            </w:r>
          </w:p>
        </w:tc>
      </w:tr>
    </w:tbl>
    <w:p>
      <w:pPr>
        <w:pStyle w:val="2"/>
        <w:spacing w:line="520" w:lineRule="exact"/>
        <w:ind w:firstLine="0" w:firstLineChars="0"/>
      </w:pPr>
    </w:p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三、合格的供应商应具备公告中列明的所有资格。</w:t>
      </w:r>
    </w:p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四、符合条件的供应商，均可在自愿遵守本询价采购要求的前提下进行报价，并一次性报出不得更改的价格。请严格按要求制作响应文件。所有证书类文件必须在有效期内。所有文件必须加盖公章。对于不符合要求的供应商所递交的报价文件，恕不接受。</w:t>
      </w:r>
    </w:p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五、采购方式：</w:t>
      </w:r>
      <w:r>
        <w:rPr>
          <w:rFonts w:hint="eastAsia" w:ascii="黑体" w:hAnsi="黑体" w:eastAsia="黑体" w:cs="黑体"/>
          <w:szCs w:val="32"/>
          <w:lang w:eastAsia="zh-CN"/>
        </w:rPr>
        <w:t>询价采购</w:t>
      </w:r>
      <w:bookmarkStart w:id="1" w:name="_GoBack"/>
      <w:bookmarkEnd w:id="1"/>
      <w:r>
        <w:rPr>
          <w:rFonts w:hint="eastAsia" w:ascii="黑体" w:hAnsi="黑体" w:eastAsia="黑体" w:cs="黑体"/>
          <w:szCs w:val="32"/>
        </w:rPr>
        <w:t>。</w:t>
      </w:r>
    </w:p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六、本次询价为整体采购，响应供应商报价时须考虑单价及总价、要求的标准，投标报价包含实施费用、人员费用、报告费用等交付采购人使用前所有可能发生的费用，包含人员费用、加班费、税收以及售后服务等费用，定标后不再增补任何费用。</w:t>
      </w:r>
    </w:p>
    <w:p>
      <w:pPr>
        <w:pStyle w:val="5"/>
        <w:widowControl/>
        <w:spacing w:line="520" w:lineRule="exact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七、交货期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：中标后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按照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采购人需求提交报告。</w:t>
      </w:r>
    </w:p>
    <w:p>
      <w:pPr>
        <w:pStyle w:val="5"/>
        <w:widowControl/>
        <w:spacing w:line="520" w:lineRule="exact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八、项目地点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：采购人指定的地点。</w:t>
      </w:r>
    </w:p>
    <w:p>
      <w:pPr>
        <w:pStyle w:val="5"/>
        <w:widowControl/>
        <w:spacing w:line="520" w:lineRule="exact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九、采购方在确定成交供应商后有权对实施的细则做适当调整。</w:t>
      </w:r>
      <w:r>
        <w:rPr>
          <w:rFonts w:asciiTheme="minorEastAsia" w:hAnsiTheme="minorEastAsia" w:eastAsiaTheme="minorEastAsia"/>
          <w:kern w:val="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kern w:val="2"/>
          <w:sz w:val="32"/>
          <w:szCs w:val="32"/>
        </w:rPr>
        <w:t xml:space="preserve"> 十、服务要求：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按相关标准要求进行执业，遵守现场的作业规定，安全管理。如有需要，成交供应商需为采购方提供一年内复检一次。提供完善的服务方案。</w:t>
      </w:r>
    </w:p>
    <w:p>
      <w:pPr>
        <w:widowControl/>
        <w:spacing w:line="520" w:lineRule="exact"/>
        <w:ind w:firstLine="640"/>
        <w:textAlignment w:val="center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十一、验收方法及标准</w:t>
      </w:r>
    </w:p>
    <w:p>
      <w:pPr>
        <w:spacing w:line="520" w:lineRule="exact"/>
        <w:ind w:firstLine="640"/>
        <w:rPr>
          <w:rFonts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szCs w:val="32"/>
        </w:rPr>
        <w:t>验收依据：按标准完成检测后出具相关部门认可的检测报告。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="黑体" w:hAnsi="黑体" w:eastAsia="黑体" w:cs="黑体"/>
          <w:szCs w:val="32"/>
        </w:rPr>
        <w:t xml:space="preserve">    十二、出现下列情况之一者，投标文件无效，作为废标处理：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cs="仿宋_GB2312" w:asciiTheme="minorEastAsia" w:hAnsiTheme="minorEastAsia" w:eastAsiaTheme="minorEastAsia"/>
          <w:szCs w:val="32"/>
        </w:rPr>
        <w:t>）未提供营业执照有效复印件或事业单位法人证书（加盖投标企业公章）。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2</w:t>
      </w:r>
      <w:r>
        <w:rPr>
          <w:rFonts w:hint="eastAsia" w:cs="仿宋_GB2312" w:asciiTheme="minorEastAsia" w:hAnsiTheme="minorEastAsia" w:eastAsiaTheme="minorEastAsia"/>
          <w:szCs w:val="32"/>
        </w:rPr>
        <w:t>）响应文件字迹模糊不清（包括提交的各类复印件、图纸）。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3</w:t>
      </w:r>
      <w:r>
        <w:rPr>
          <w:rFonts w:hint="eastAsia" w:cs="仿宋_GB2312" w:asciiTheme="minorEastAsia" w:hAnsiTheme="minorEastAsia" w:eastAsiaTheme="minorEastAsia"/>
          <w:szCs w:val="32"/>
        </w:rPr>
        <w:t>）响应内容、技术标准、售后服务没有实质性响应询价文件要求。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4</w:t>
      </w:r>
      <w:r>
        <w:rPr>
          <w:rFonts w:hint="eastAsia" w:cs="仿宋_GB2312" w:asciiTheme="minorEastAsia" w:hAnsiTheme="minorEastAsia" w:eastAsiaTheme="minorEastAsia"/>
          <w:szCs w:val="32"/>
        </w:rPr>
        <w:t>）未提供响应文件、报价一览表、服务体系说明及售后服务承诺。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454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E5D30E"/>
    <w:multiLevelType w:val="singleLevel"/>
    <w:tmpl w:val="B5E5D30E"/>
    <w:lvl w:ilvl="0" w:tentative="0">
      <w:start w:val="2"/>
      <w:numFmt w:val="decimal"/>
      <w:suff w:val="nothing"/>
      <w:lvlText w:val="（%1）"/>
      <w:lvlJc w:val="left"/>
    </w:lvl>
  </w:abstractNum>
  <w:abstractNum w:abstractNumId="1">
    <w:nsid w:val="75B26C03"/>
    <w:multiLevelType w:val="singleLevel"/>
    <w:tmpl w:val="75B26C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582062E9"/>
    <w:rsid w:val="0013550E"/>
    <w:rsid w:val="001840F1"/>
    <w:rsid w:val="0032282D"/>
    <w:rsid w:val="00417218"/>
    <w:rsid w:val="00441094"/>
    <w:rsid w:val="006C1A4F"/>
    <w:rsid w:val="006E5BF7"/>
    <w:rsid w:val="00795FF1"/>
    <w:rsid w:val="007C172F"/>
    <w:rsid w:val="008B4A69"/>
    <w:rsid w:val="00C5204D"/>
    <w:rsid w:val="00C97074"/>
    <w:rsid w:val="00D64506"/>
    <w:rsid w:val="00DC6BE4"/>
    <w:rsid w:val="00DF4D2A"/>
    <w:rsid w:val="00F31284"/>
    <w:rsid w:val="00F57831"/>
    <w:rsid w:val="00FE0428"/>
    <w:rsid w:val="00FE1A43"/>
    <w:rsid w:val="00FE541D"/>
    <w:rsid w:val="00FE743C"/>
    <w:rsid w:val="0B01505D"/>
    <w:rsid w:val="0C457F79"/>
    <w:rsid w:val="0F392E9B"/>
    <w:rsid w:val="10D6308E"/>
    <w:rsid w:val="14F065F6"/>
    <w:rsid w:val="19C37D8A"/>
    <w:rsid w:val="2C215067"/>
    <w:rsid w:val="3A3E475C"/>
    <w:rsid w:val="3FE12198"/>
    <w:rsid w:val="44A50FD9"/>
    <w:rsid w:val="49DC052E"/>
    <w:rsid w:val="4C2B5AA3"/>
    <w:rsid w:val="5038094C"/>
    <w:rsid w:val="519E7E0D"/>
    <w:rsid w:val="582062E9"/>
    <w:rsid w:val="5D9161D6"/>
    <w:rsid w:val="6AA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styleId="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1262</Characters>
  <Lines>10</Lines>
  <Paragraphs>2</Paragraphs>
  <TotalTime>4</TotalTime>
  <ScaleCrop>false</ScaleCrop>
  <LinksUpToDate>false</LinksUpToDate>
  <CharactersWithSpaces>1481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2023-03-16T02:12:00Z</dcterms:created>
  <dc:creator>海</dc:creator>
  <cp:lastModifiedBy>YanYiTing_PB</cp:lastModifiedBy>
  <dcterms:modified xsi:type="dcterms:W3CDTF">2023-03-16T09:07:10Z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EDF1F4F91D694656A81F8ED527E91FC5</vt:lpwstr>
  </property>
</Properties>
</file>