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20" w:lineRule="exact"/>
        <w:textAlignment w:val="center"/>
        <w:rPr>
          <w:rFonts w:hint="eastAsia" w:ascii="黑体" w:hAnsi="黑体" w:eastAsia="黑体"/>
          <w:color w:val="FF0000"/>
          <w:kern w:val="0"/>
          <w:sz w:val="32"/>
          <w:szCs w:val="32"/>
          <w:lang w:val="en-US" w:eastAsia="zh-CN"/>
        </w:rPr>
      </w:pPr>
      <w:r>
        <w:rPr>
          <w:rFonts w:hint="eastAsia" w:ascii="黑体" w:hAnsi="黑体" w:eastAsia="黑体"/>
          <w:kern w:val="0"/>
          <w:sz w:val="32"/>
          <w:szCs w:val="32"/>
        </w:rPr>
        <w:t>附件</w:t>
      </w:r>
      <w:r>
        <w:rPr>
          <w:rFonts w:hint="eastAsia" w:ascii="黑体" w:hAnsi="黑体" w:eastAsia="黑体"/>
          <w:kern w:val="0"/>
          <w:sz w:val="32"/>
          <w:szCs w:val="32"/>
          <w:lang w:val="en-US" w:eastAsia="zh-CN"/>
        </w:rPr>
        <w:t>3</w:t>
      </w:r>
    </w:p>
    <w:p>
      <w:pPr>
        <w:spacing w:line="360" w:lineRule="auto"/>
        <w:ind w:left="2800" w:firstLine="562"/>
        <w:jc w:val="left"/>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caps w:val="0"/>
          <w:color w:val="333333"/>
          <w:spacing w:val="0"/>
          <w:sz w:val="44"/>
          <w:szCs w:val="44"/>
          <w:lang w:eastAsia="zh-CN"/>
        </w:rPr>
        <w:t>采购需求清单</w:t>
      </w:r>
    </w:p>
    <w:p>
      <w:pPr>
        <w:numPr>
          <w:numId w:val="0"/>
        </w:numPr>
        <w:adjustRightInd w:val="0"/>
        <w:spacing w:line="360" w:lineRule="auto"/>
        <w:ind w:leftChars="-171" w:firstLine="960" w:firstLineChars="300"/>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一、</w:t>
      </w:r>
      <w:r>
        <w:rPr>
          <w:rFonts w:hint="eastAsia" w:ascii="黑体" w:hAnsi="黑体" w:eastAsia="黑体" w:cs="黑体"/>
          <w:b w:val="0"/>
          <w:bCs w:val="0"/>
          <w:sz w:val="32"/>
          <w:szCs w:val="32"/>
        </w:rPr>
        <w:t>项目概述：</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广州市少年宫</w:t>
      </w:r>
      <w:r>
        <w:rPr>
          <w:rFonts w:hint="eastAsia" w:ascii="仿宋_GB2312" w:hAnsi="仿宋_GB2312" w:eastAsia="仿宋_GB2312" w:cs="仿宋_GB2312"/>
          <w:color w:val="auto"/>
          <w:sz w:val="32"/>
          <w:szCs w:val="32"/>
          <w:lang w:val="en-US" w:eastAsia="zh-CN"/>
        </w:rPr>
        <w:t>2022年度</w:t>
      </w:r>
      <w:r>
        <w:rPr>
          <w:rFonts w:hint="eastAsia" w:ascii="仿宋_GB2312" w:hAnsi="仿宋_GB2312" w:eastAsia="仿宋_GB2312" w:cs="仿宋_GB2312"/>
          <w:color w:val="auto"/>
          <w:sz w:val="32"/>
          <w:szCs w:val="32"/>
          <w:lang w:eastAsia="zh-CN"/>
        </w:rPr>
        <w:t>离退休人员</w:t>
      </w:r>
      <w:r>
        <w:rPr>
          <w:rFonts w:hint="eastAsia" w:ascii="仿宋_GB2312" w:hAnsi="仿宋_GB2312" w:eastAsia="仿宋_GB2312" w:cs="仿宋_GB2312"/>
          <w:color w:val="auto"/>
          <w:sz w:val="32"/>
          <w:szCs w:val="32"/>
        </w:rPr>
        <w:t>健康</w:t>
      </w:r>
      <w:r>
        <w:rPr>
          <w:rFonts w:hint="eastAsia" w:ascii="仿宋_GB2312" w:hAnsi="仿宋_GB2312" w:eastAsia="仿宋_GB2312" w:cs="仿宋_GB2312"/>
          <w:color w:val="auto"/>
          <w:sz w:val="32"/>
          <w:szCs w:val="32"/>
          <w:lang w:eastAsia="zh-CN"/>
        </w:rPr>
        <w:t>检查项目，体检离退休人员总</w:t>
      </w:r>
      <w:r>
        <w:rPr>
          <w:rFonts w:hint="eastAsia" w:ascii="仿宋_GB2312" w:hAnsi="仿宋_GB2312" w:eastAsia="仿宋_GB2312" w:cs="仿宋_GB2312"/>
          <w:color w:val="auto"/>
          <w:sz w:val="32"/>
          <w:szCs w:val="32"/>
        </w:rPr>
        <w:t>数</w:t>
      </w:r>
      <w:r>
        <w:rPr>
          <w:rFonts w:hint="eastAsia" w:ascii="仿宋_GB2312" w:hAnsi="仿宋_GB2312" w:eastAsia="仿宋_GB2312" w:cs="仿宋_GB2312"/>
          <w:color w:val="auto"/>
          <w:sz w:val="32"/>
          <w:szCs w:val="32"/>
          <w:lang w:val="en-US" w:eastAsia="zh-CN"/>
        </w:rPr>
        <w:t>88</w:t>
      </w:r>
      <w:r>
        <w:rPr>
          <w:rFonts w:hint="eastAsia" w:ascii="仿宋_GB2312" w:hAnsi="仿宋_GB2312" w:eastAsia="仿宋_GB2312" w:cs="仿宋_GB2312"/>
          <w:color w:val="auto"/>
          <w:sz w:val="32"/>
          <w:szCs w:val="32"/>
        </w:rPr>
        <w:t>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分批进行，每批</w:t>
      </w:r>
      <w:r>
        <w:rPr>
          <w:rFonts w:hint="eastAsia" w:ascii="仿宋_GB2312" w:hAnsi="仿宋_GB2312" w:eastAsia="仿宋_GB2312" w:cs="仿宋_GB2312"/>
          <w:color w:val="auto"/>
          <w:sz w:val="32"/>
          <w:szCs w:val="32"/>
          <w:lang w:eastAsia="zh-CN"/>
        </w:rPr>
        <w:t>人数按采购人</w:t>
      </w:r>
      <w:r>
        <w:rPr>
          <w:rFonts w:hint="eastAsia" w:ascii="仿宋_GB2312" w:hAnsi="仿宋_GB2312" w:eastAsia="仿宋_GB2312" w:cs="仿宋_GB2312"/>
          <w:color w:val="auto"/>
          <w:sz w:val="32"/>
          <w:szCs w:val="32"/>
        </w:rPr>
        <w:t>组织</w:t>
      </w:r>
      <w:r>
        <w:rPr>
          <w:rFonts w:hint="eastAsia" w:ascii="仿宋_GB2312" w:hAnsi="仿宋_GB2312" w:eastAsia="仿宋_GB2312" w:cs="仿宋_GB2312"/>
          <w:color w:val="auto"/>
          <w:sz w:val="32"/>
          <w:szCs w:val="32"/>
          <w:lang w:eastAsia="zh-CN"/>
        </w:rPr>
        <w:t>的人数为准，开展体检时间为</w:t>
      </w:r>
      <w:r>
        <w:rPr>
          <w:rFonts w:hint="eastAsia" w:ascii="仿宋_GB2312" w:hAnsi="仿宋_GB2312" w:eastAsia="仿宋_GB2312" w:cs="仿宋_GB2312"/>
          <w:color w:val="auto"/>
          <w:sz w:val="32"/>
          <w:szCs w:val="32"/>
        </w:rPr>
        <w:t>合同签订</w:t>
      </w:r>
      <w:r>
        <w:rPr>
          <w:rFonts w:hint="eastAsia" w:ascii="仿宋_GB2312" w:hAnsi="仿宋_GB2312" w:eastAsia="仿宋_GB2312" w:cs="仿宋_GB2312"/>
          <w:color w:val="auto"/>
          <w:sz w:val="32"/>
          <w:szCs w:val="32"/>
          <w:lang w:eastAsia="zh-CN"/>
        </w:rPr>
        <w:t>之日起</w:t>
      </w:r>
      <w:r>
        <w:rPr>
          <w:rFonts w:hint="eastAsia" w:ascii="仿宋_GB2312" w:hAnsi="仿宋_GB2312" w:eastAsia="仿宋_GB2312" w:cs="仿宋_GB2312"/>
          <w:color w:val="auto"/>
          <w:sz w:val="32"/>
          <w:szCs w:val="32"/>
        </w:rPr>
        <w:t>至20</w:t>
      </w:r>
      <w:r>
        <w:rPr>
          <w:rFonts w:hint="eastAsia" w:ascii="仿宋_GB2312" w:hAnsi="仿宋_GB2312" w:eastAsia="仿宋_GB2312" w:cs="仿宋_GB2312"/>
          <w:color w:val="auto"/>
          <w:sz w:val="32"/>
          <w:szCs w:val="32"/>
          <w:lang w:val="en-US" w:eastAsia="zh-CN"/>
        </w:rPr>
        <w:t>22</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月3</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日。</w:t>
      </w:r>
    </w:p>
    <w:p>
      <w:pPr>
        <w:keepNext w:val="0"/>
        <w:keepLines w:val="0"/>
        <w:pageBreakBefore w:val="0"/>
        <w:widowControl/>
        <w:kinsoku/>
        <w:wordWrap/>
        <w:overflowPunct/>
        <w:topLinePunct w:val="0"/>
        <w:autoSpaceDE/>
        <w:autoSpaceDN/>
        <w:bidi w:val="0"/>
        <w:snapToGrid/>
        <w:spacing w:line="560" w:lineRule="exact"/>
        <w:ind w:firstLine="640" w:firstLineChars="200"/>
        <w:jc w:val="left"/>
        <w:textAlignment w:val="auto"/>
        <w:rPr>
          <w:rFonts w:hint="eastAsia" w:ascii="仿宋_GB2312" w:hAnsi="仿宋_GB2312" w:eastAsia="仿宋_GB2312" w:cs="仿宋_GB2312"/>
          <w:color w:val="0000FF"/>
          <w:sz w:val="32"/>
          <w:szCs w:val="32"/>
          <w:lang w:val="en-US" w:eastAsia="zh-CN"/>
        </w:rPr>
      </w:pPr>
      <w:r>
        <w:rPr>
          <w:rFonts w:hint="eastAsia" w:ascii="仿宋_GB2312" w:hAnsi="仿宋_GB2312" w:eastAsia="仿宋_GB2312" w:cs="仿宋_GB2312"/>
          <w:color w:val="auto"/>
          <w:sz w:val="32"/>
          <w:szCs w:val="32"/>
          <w:lang w:val="en-US" w:eastAsia="zh-CN"/>
        </w:rPr>
        <w:t>2.体检</w:t>
      </w:r>
      <w:bookmarkStart w:id="0" w:name="_GoBack"/>
      <w:bookmarkEnd w:id="0"/>
      <w:r>
        <w:rPr>
          <w:rFonts w:hint="eastAsia" w:ascii="仿宋_GB2312" w:hAnsi="仿宋_GB2312" w:eastAsia="仿宋_GB2312" w:cs="仿宋_GB2312"/>
          <w:color w:val="auto"/>
          <w:sz w:val="32"/>
          <w:szCs w:val="32"/>
          <w:lang w:val="en-US" w:eastAsia="zh-CN"/>
        </w:rPr>
        <w:t>费（</w:t>
      </w:r>
      <w:r>
        <w:rPr>
          <w:rFonts w:hint="eastAsia" w:ascii="仿宋_GB2312" w:hAnsi="仿宋_GB2312" w:eastAsia="仿宋_GB2312" w:cs="仿宋_GB2312"/>
          <w:color w:val="auto"/>
          <w:sz w:val="32"/>
          <w:szCs w:val="32"/>
        </w:rPr>
        <w:t>含一次性消耗用品费、检查仪器费、检测费、人工费</w:t>
      </w:r>
      <w:r>
        <w:rPr>
          <w:rFonts w:hint="eastAsia" w:ascii="仿宋_GB2312" w:hAnsi="仿宋_GB2312" w:eastAsia="仿宋_GB2312" w:cs="仿宋_GB2312"/>
          <w:color w:val="auto"/>
          <w:sz w:val="32"/>
          <w:szCs w:val="32"/>
          <w:lang w:eastAsia="zh-CN"/>
        </w:rPr>
        <w:t>等</w:t>
      </w:r>
      <w:r>
        <w:rPr>
          <w:rFonts w:hint="eastAsia" w:ascii="仿宋_GB2312" w:hAnsi="仿宋_GB2312" w:eastAsia="仿宋_GB2312" w:cs="仿宋_GB2312"/>
          <w:color w:val="auto"/>
          <w:sz w:val="32"/>
          <w:szCs w:val="32"/>
        </w:rPr>
        <w:t>），漏报或少报的费用，视此费用已包含在汇总价格、总价报价中。</w:t>
      </w:r>
      <w:r>
        <w:rPr>
          <w:rFonts w:hint="eastAsia" w:ascii="仿宋_GB2312" w:hAnsi="仿宋_GB2312" w:eastAsia="仿宋_GB2312" w:cs="仿宋_GB2312"/>
          <w:color w:val="auto"/>
          <w:sz w:val="32"/>
          <w:szCs w:val="32"/>
          <w:lang w:eastAsia="zh-CN"/>
        </w:rPr>
        <w:t>费用</w:t>
      </w:r>
      <w:r>
        <w:rPr>
          <w:rFonts w:hint="eastAsia" w:ascii="仿宋_GB2312" w:hAnsi="仿宋_GB2312" w:eastAsia="仿宋_GB2312" w:cs="仿宋_GB2312"/>
          <w:color w:val="auto"/>
          <w:sz w:val="32"/>
          <w:szCs w:val="32"/>
          <w:lang w:val="en-US" w:eastAsia="zh-CN"/>
        </w:rPr>
        <w:t>结算时，以实际参加人数为准。</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3.体检验收：体检人员费用清单（体检完成后7个工作日内）及个人体检报告（体检完成后10个工作日内）。</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4.售后服务：为体检人员提供免费咨询、纸质和电子体检报告，对有需要复检的人员提供优惠服务。配合体检单</w:t>
      </w:r>
      <w:r>
        <w:rPr>
          <w:rFonts w:hint="eastAsia" w:ascii="仿宋_GB2312" w:hAnsi="仿宋_GB2312" w:eastAsia="仿宋_GB2312" w:cs="仿宋_GB2312"/>
          <w:color w:val="000000"/>
          <w:sz w:val="32"/>
          <w:szCs w:val="32"/>
        </w:rPr>
        <w:t>位对个人体检中发现异常的进行跟踪及免费咨询。</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中标人不得以任何方式转包或分包本项目</w:t>
      </w:r>
      <w:r>
        <w:rPr>
          <w:rFonts w:hint="eastAsia" w:ascii="仿宋_GB2312" w:hAnsi="仿宋_GB2312" w:eastAsia="仿宋_GB2312" w:cs="仿宋_GB2312"/>
          <w:color w:val="000000"/>
          <w:sz w:val="32"/>
          <w:szCs w:val="32"/>
          <w:lang w:eastAsia="zh-CN"/>
        </w:rPr>
        <w:t>。</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6.评审、定标原则，本次评标采用综合评分法，按各报价人的商务部分和技术部分等各项因素作为评价的基础，综合评选推荐出中标候选人，并以交通便利者及售后服务承诺等最优者成为供应商。交通便利，</w:t>
      </w:r>
      <w:r>
        <w:rPr>
          <w:rFonts w:hint="eastAsia" w:ascii="仿宋_GB2312" w:hAnsi="仿宋_GB2312" w:eastAsia="仿宋_GB2312" w:cs="仿宋_GB2312"/>
          <w:color w:val="auto"/>
          <w:sz w:val="32"/>
          <w:szCs w:val="32"/>
        </w:rPr>
        <w:t>依据“百度地图”</w:t>
      </w:r>
      <w:r>
        <w:rPr>
          <w:rFonts w:hint="eastAsia" w:ascii="仿宋_GB2312" w:hAnsi="仿宋_GB2312" w:eastAsia="仿宋_GB2312" w:cs="仿宋_GB2312"/>
          <w:color w:val="auto"/>
          <w:sz w:val="32"/>
          <w:szCs w:val="32"/>
          <w:lang w:eastAsia="zh-CN"/>
        </w:rPr>
        <w:t>等软件</w:t>
      </w:r>
      <w:r>
        <w:rPr>
          <w:rFonts w:hint="eastAsia" w:ascii="仿宋_GB2312" w:hAnsi="仿宋_GB2312" w:eastAsia="仿宋_GB2312" w:cs="仿宋_GB2312"/>
          <w:color w:val="auto"/>
          <w:sz w:val="32"/>
          <w:szCs w:val="32"/>
        </w:rPr>
        <w:t>测算的报价人服务地点与采购人单位地点的最短公路距离为准,由投标人自行测算后附上测算的页面截图作为证明材料</w:t>
      </w:r>
      <w:r>
        <w:rPr>
          <w:rFonts w:hint="eastAsia" w:ascii="仿宋_GB2312" w:hAnsi="仿宋_GB2312" w:eastAsia="仿宋_GB2312" w:cs="仿宋_GB2312"/>
          <w:color w:val="auto"/>
          <w:sz w:val="32"/>
          <w:szCs w:val="32"/>
          <w:lang w:eastAsia="zh-CN"/>
        </w:rPr>
        <w:t>。</w:t>
      </w:r>
    </w:p>
    <w:p>
      <w:pPr>
        <w:keepNext w:val="0"/>
        <w:keepLines w:val="0"/>
        <w:pageBreakBefore w:val="0"/>
        <w:kinsoku/>
        <w:wordWrap/>
        <w:overflowPunct/>
        <w:topLinePunct w:val="0"/>
        <w:autoSpaceDE/>
        <w:autoSpaceDN/>
        <w:bidi w:val="0"/>
        <w:adjustRightInd w:val="0"/>
        <w:snapToGrid/>
        <w:spacing w:line="560" w:lineRule="exact"/>
        <w:ind w:left="359" w:hanging="549" w:hangingChars="171"/>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z w:val="32"/>
          <w:szCs w:val="32"/>
          <w:lang w:eastAsia="zh-CN"/>
        </w:rPr>
        <w:br w:type="page"/>
      </w:r>
    </w:p>
    <w:p>
      <w:pPr>
        <w:numPr>
          <w:ilvl w:val="0"/>
          <w:numId w:val="0"/>
        </w:numPr>
        <w:spacing w:before="217" w:beforeLines="50" w:line="360" w:lineRule="auto"/>
        <w:ind w:leftChars="0" w:firstLine="320" w:firstLineChars="100"/>
        <w:jc w:val="left"/>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二、</w:t>
      </w:r>
      <w:r>
        <w:rPr>
          <w:rFonts w:hint="eastAsia" w:ascii="黑体" w:hAnsi="黑体" w:eastAsia="黑体" w:cs="黑体"/>
          <w:b w:val="0"/>
          <w:bCs w:val="0"/>
          <w:sz w:val="32"/>
          <w:szCs w:val="32"/>
        </w:rPr>
        <w:t>项目</w:t>
      </w:r>
      <w:r>
        <w:rPr>
          <w:rFonts w:hint="eastAsia" w:ascii="黑体" w:hAnsi="黑体" w:eastAsia="黑体" w:cs="黑体"/>
          <w:b w:val="0"/>
          <w:bCs w:val="0"/>
          <w:sz w:val="32"/>
          <w:szCs w:val="32"/>
          <w:lang w:eastAsia="zh-CN"/>
        </w:rPr>
        <w:t>内容及</w:t>
      </w:r>
      <w:r>
        <w:rPr>
          <w:rFonts w:hint="eastAsia" w:ascii="黑体" w:hAnsi="黑体" w:eastAsia="黑体" w:cs="黑体"/>
          <w:b w:val="0"/>
          <w:bCs w:val="0"/>
          <w:sz w:val="32"/>
          <w:szCs w:val="32"/>
        </w:rPr>
        <w:t>要求：</w:t>
      </w:r>
    </w:p>
    <w:tbl>
      <w:tblPr>
        <w:tblStyle w:val="3"/>
        <w:tblW w:w="10416" w:type="dxa"/>
        <w:tblInd w:w="-2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
        <w:gridCol w:w="1877"/>
        <w:gridCol w:w="664"/>
        <w:gridCol w:w="4236"/>
        <w:gridCol w:w="2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8" w:type="dxa"/>
            <w:vAlign w:val="top"/>
          </w:tcPr>
          <w:p>
            <w:pPr>
              <w:numPr>
                <w:ilvl w:val="0"/>
                <w:numId w:val="0"/>
              </w:numPr>
              <w:adjustRightInd w:val="0"/>
              <w:spacing w:line="360" w:lineRule="auto"/>
              <w:jc w:val="center"/>
              <w:rPr>
                <w:rFonts w:hint="eastAsia" w:ascii="宋体" w:hAnsi="宋体" w:eastAsia="宋体" w:cs="宋体"/>
                <w:b/>
                <w:bCs/>
                <w:color w:val="000000"/>
                <w:sz w:val="22"/>
                <w:szCs w:val="22"/>
                <w:lang w:eastAsia="zh-CN"/>
              </w:rPr>
            </w:pPr>
            <w:r>
              <w:rPr>
                <w:rFonts w:hint="eastAsia" w:ascii="宋体" w:hAnsi="宋体" w:eastAsia="宋体" w:cs="宋体"/>
                <w:b/>
                <w:bCs/>
                <w:color w:val="000000"/>
                <w:sz w:val="22"/>
                <w:szCs w:val="22"/>
                <w:lang w:eastAsia="zh-CN"/>
              </w:rPr>
              <w:t>序号</w:t>
            </w:r>
          </w:p>
        </w:tc>
        <w:tc>
          <w:tcPr>
            <w:tcW w:w="1877" w:type="dxa"/>
            <w:vAlign w:val="top"/>
          </w:tcPr>
          <w:p>
            <w:pPr>
              <w:numPr>
                <w:ilvl w:val="0"/>
                <w:numId w:val="0"/>
              </w:numPr>
              <w:adjustRightInd w:val="0"/>
              <w:spacing w:line="360" w:lineRule="auto"/>
              <w:jc w:val="center"/>
              <w:rPr>
                <w:rFonts w:hint="eastAsia" w:ascii="宋体" w:hAnsi="宋体" w:eastAsia="宋体" w:cs="宋体"/>
                <w:b/>
                <w:bCs/>
                <w:color w:val="000000"/>
                <w:sz w:val="22"/>
                <w:szCs w:val="22"/>
                <w:lang w:eastAsia="zh-CN"/>
              </w:rPr>
            </w:pPr>
            <w:r>
              <w:rPr>
                <w:rFonts w:hint="eastAsia" w:ascii="宋体" w:hAnsi="宋体" w:eastAsia="宋体" w:cs="宋体"/>
                <w:b/>
                <w:bCs/>
                <w:color w:val="000000"/>
                <w:sz w:val="22"/>
                <w:szCs w:val="22"/>
                <w:lang w:eastAsia="zh-CN"/>
              </w:rPr>
              <w:t>内</w:t>
            </w:r>
            <w:r>
              <w:rPr>
                <w:rFonts w:hint="eastAsia" w:ascii="宋体" w:hAnsi="宋体" w:eastAsia="宋体" w:cs="宋体"/>
                <w:b/>
                <w:bCs/>
                <w:color w:val="000000"/>
                <w:sz w:val="22"/>
                <w:szCs w:val="22"/>
                <w:lang w:val="en-US" w:eastAsia="zh-CN"/>
              </w:rPr>
              <w:t xml:space="preserve">    </w:t>
            </w:r>
            <w:r>
              <w:rPr>
                <w:rFonts w:hint="eastAsia" w:ascii="宋体" w:hAnsi="宋体" w:eastAsia="宋体" w:cs="宋体"/>
                <w:b/>
                <w:bCs/>
                <w:color w:val="000000"/>
                <w:sz w:val="22"/>
                <w:szCs w:val="22"/>
                <w:lang w:eastAsia="zh-CN"/>
              </w:rPr>
              <w:t>容</w:t>
            </w:r>
          </w:p>
        </w:tc>
        <w:tc>
          <w:tcPr>
            <w:tcW w:w="664" w:type="dxa"/>
            <w:vAlign w:val="top"/>
          </w:tcPr>
          <w:p>
            <w:pPr>
              <w:numPr>
                <w:ilvl w:val="0"/>
                <w:numId w:val="0"/>
              </w:numPr>
              <w:adjustRightInd w:val="0"/>
              <w:spacing w:line="360" w:lineRule="auto"/>
              <w:jc w:val="center"/>
              <w:rPr>
                <w:rFonts w:hint="eastAsia" w:ascii="宋体" w:hAnsi="宋体" w:eastAsia="宋体" w:cs="宋体"/>
                <w:b/>
                <w:bCs/>
                <w:color w:val="000000"/>
                <w:sz w:val="22"/>
                <w:szCs w:val="22"/>
                <w:lang w:eastAsia="zh-CN"/>
              </w:rPr>
            </w:pPr>
            <w:r>
              <w:rPr>
                <w:rFonts w:hint="eastAsia" w:ascii="宋体" w:hAnsi="宋体" w:eastAsia="宋体" w:cs="宋体"/>
                <w:b/>
                <w:bCs/>
                <w:color w:val="000000"/>
                <w:sz w:val="22"/>
                <w:szCs w:val="22"/>
                <w:lang w:eastAsia="zh-CN"/>
              </w:rPr>
              <w:t>人数</w:t>
            </w:r>
          </w:p>
        </w:tc>
        <w:tc>
          <w:tcPr>
            <w:tcW w:w="4236" w:type="dxa"/>
            <w:vAlign w:val="top"/>
          </w:tcPr>
          <w:p>
            <w:pPr>
              <w:numPr>
                <w:ilvl w:val="0"/>
                <w:numId w:val="0"/>
              </w:numPr>
              <w:adjustRightInd w:val="0"/>
              <w:spacing w:line="360" w:lineRule="auto"/>
              <w:jc w:val="center"/>
              <w:rPr>
                <w:rFonts w:hint="eastAsia" w:ascii="宋体" w:hAnsi="宋体" w:eastAsia="宋体" w:cs="宋体"/>
                <w:b/>
                <w:bCs/>
                <w:color w:val="000000"/>
                <w:sz w:val="22"/>
                <w:szCs w:val="22"/>
                <w:lang w:eastAsia="zh-CN"/>
              </w:rPr>
            </w:pPr>
            <w:r>
              <w:rPr>
                <w:rFonts w:hint="eastAsia" w:ascii="宋体" w:hAnsi="宋体" w:eastAsia="宋体" w:cs="宋体"/>
                <w:b/>
                <w:bCs/>
                <w:color w:val="000000"/>
                <w:sz w:val="22"/>
                <w:szCs w:val="22"/>
                <w:lang w:eastAsia="zh-CN"/>
              </w:rPr>
              <w:t>项目标准及要求</w:t>
            </w:r>
          </w:p>
        </w:tc>
        <w:tc>
          <w:tcPr>
            <w:tcW w:w="2701" w:type="dxa"/>
            <w:vAlign w:val="top"/>
          </w:tcPr>
          <w:p>
            <w:pPr>
              <w:numPr>
                <w:ilvl w:val="0"/>
                <w:numId w:val="0"/>
              </w:numPr>
              <w:adjustRightInd w:val="0"/>
              <w:spacing w:line="360" w:lineRule="auto"/>
              <w:jc w:val="center"/>
              <w:rPr>
                <w:rFonts w:hint="eastAsia" w:ascii="宋体" w:hAnsi="宋体" w:eastAsia="宋体" w:cs="宋体"/>
                <w:b/>
                <w:bCs/>
                <w:color w:val="000000"/>
                <w:sz w:val="22"/>
                <w:szCs w:val="22"/>
                <w:lang w:eastAsia="zh-CN"/>
              </w:rPr>
            </w:pPr>
            <w:r>
              <w:rPr>
                <w:rFonts w:hint="eastAsia" w:ascii="宋体" w:hAnsi="宋体" w:eastAsia="宋体" w:cs="宋体"/>
                <w:b/>
                <w:bCs/>
                <w:color w:val="000000"/>
                <w:sz w:val="22"/>
                <w:szCs w:val="22"/>
                <w:lang w:eastAsia="zh-CN"/>
              </w:rPr>
              <w:t>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4" w:hRule="atLeast"/>
        </w:trPr>
        <w:tc>
          <w:tcPr>
            <w:tcW w:w="938" w:type="dxa"/>
            <w:vAlign w:val="top"/>
          </w:tcPr>
          <w:p>
            <w:pPr>
              <w:numPr>
                <w:ilvl w:val="0"/>
                <w:numId w:val="0"/>
              </w:numPr>
              <w:adjustRightInd w:val="0"/>
              <w:spacing w:line="360" w:lineRule="auto"/>
              <w:jc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1</w:t>
            </w:r>
          </w:p>
        </w:tc>
        <w:tc>
          <w:tcPr>
            <w:tcW w:w="1877" w:type="dxa"/>
            <w:vAlign w:val="top"/>
          </w:tcPr>
          <w:p>
            <w:pPr>
              <w:numPr>
                <w:ilvl w:val="0"/>
                <w:numId w:val="0"/>
              </w:numPr>
              <w:adjustRightInd w:val="0"/>
              <w:spacing w:line="360" w:lineRule="auto"/>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CN"/>
              </w:rPr>
              <w:t>男</w:t>
            </w:r>
            <w:r>
              <w:rPr>
                <w:rFonts w:hint="eastAsia" w:ascii="宋体" w:hAnsi="宋体"/>
                <w:color w:val="auto"/>
                <w:sz w:val="22"/>
                <w:szCs w:val="22"/>
                <w:lang w:val="en-US" w:eastAsia="zh-CN"/>
              </w:rPr>
              <w:t>离退休人员</w:t>
            </w:r>
            <w:r>
              <w:rPr>
                <w:rFonts w:hint="eastAsia" w:ascii="宋体" w:hAnsi="宋体"/>
                <w:color w:val="auto"/>
                <w:sz w:val="22"/>
                <w:szCs w:val="22"/>
              </w:rPr>
              <w:t>体检</w:t>
            </w:r>
          </w:p>
        </w:tc>
        <w:tc>
          <w:tcPr>
            <w:tcW w:w="664" w:type="dxa"/>
            <w:vAlign w:val="top"/>
          </w:tcPr>
          <w:p>
            <w:pPr>
              <w:numPr>
                <w:ilvl w:val="0"/>
                <w:numId w:val="0"/>
              </w:numPr>
              <w:adjustRightInd w:val="0"/>
              <w:spacing w:line="360" w:lineRule="auto"/>
              <w:rPr>
                <w:rFonts w:hint="default" w:ascii="宋体" w:hAnsi="宋体" w:eastAsia="宋体" w:cs="宋体"/>
                <w:color w:val="auto"/>
                <w:sz w:val="22"/>
                <w:szCs w:val="22"/>
                <w:lang w:val="en-US" w:eastAsia="zh-CN"/>
              </w:rPr>
            </w:pPr>
            <w:r>
              <w:rPr>
                <w:rFonts w:hint="eastAsia" w:ascii="宋体" w:hAnsi="宋体" w:cs="宋体"/>
                <w:color w:val="auto"/>
                <w:sz w:val="22"/>
                <w:szCs w:val="22"/>
                <w:lang w:val="en-US" w:eastAsia="zh-CN"/>
              </w:rPr>
              <w:t>42</w:t>
            </w:r>
          </w:p>
        </w:tc>
        <w:tc>
          <w:tcPr>
            <w:tcW w:w="4236" w:type="dxa"/>
            <w:vAlign w:val="top"/>
          </w:tcPr>
          <w:p>
            <w:pPr>
              <w:numPr>
                <w:ilvl w:val="0"/>
                <w:numId w:val="0"/>
              </w:numPr>
              <w:adjustRightInd w:val="0"/>
              <w:spacing w:line="360" w:lineRule="auto"/>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lang w:eastAsia="zh-CN"/>
              </w:rPr>
              <w:t>体检标准不超</w:t>
            </w:r>
            <w:r>
              <w:rPr>
                <w:rFonts w:hint="eastAsia" w:ascii="宋体" w:hAnsi="宋体" w:cs="宋体"/>
                <w:b w:val="0"/>
                <w:bCs w:val="0"/>
                <w:color w:val="auto"/>
                <w:sz w:val="22"/>
                <w:szCs w:val="22"/>
                <w:lang w:val="en-US" w:eastAsia="zh-CN"/>
              </w:rPr>
              <w:t>1270.70</w:t>
            </w:r>
            <w:r>
              <w:rPr>
                <w:rFonts w:hint="eastAsia" w:ascii="宋体" w:hAnsi="宋体" w:eastAsia="宋体" w:cs="宋体"/>
                <w:b w:val="0"/>
                <w:bCs w:val="0"/>
                <w:color w:val="auto"/>
                <w:sz w:val="22"/>
                <w:szCs w:val="22"/>
                <w:lang w:val="en-US" w:eastAsia="zh-CN"/>
              </w:rPr>
              <w:t>元/人，</w:t>
            </w:r>
            <w:r>
              <w:rPr>
                <w:rFonts w:hint="eastAsia" w:ascii="宋体" w:hAnsi="宋体" w:eastAsia="宋体" w:cs="宋体"/>
                <w:b w:val="0"/>
                <w:bCs w:val="0"/>
                <w:color w:val="auto"/>
                <w:sz w:val="22"/>
                <w:szCs w:val="22"/>
                <w:lang w:eastAsia="zh-CN"/>
              </w:rPr>
              <w:t>按指定检查项目体检（详见</w:t>
            </w:r>
            <w:r>
              <w:rPr>
                <w:rFonts w:hint="eastAsia" w:ascii="宋体" w:hAnsi="宋体" w:eastAsia="宋体" w:cs="宋体"/>
                <w:b w:val="0"/>
                <w:bCs w:val="0"/>
                <w:color w:val="auto"/>
                <w:sz w:val="22"/>
                <w:szCs w:val="22"/>
              </w:rPr>
              <w:t>体检项目</w:t>
            </w:r>
            <w:r>
              <w:rPr>
                <w:rFonts w:hint="eastAsia" w:ascii="宋体" w:hAnsi="宋体" w:eastAsia="宋体" w:cs="宋体"/>
                <w:b w:val="0"/>
                <w:bCs w:val="0"/>
                <w:color w:val="auto"/>
                <w:sz w:val="22"/>
                <w:szCs w:val="22"/>
                <w:lang w:eastAsia="zh-CN"/>
              </w:rPr>
              <w:t>及意义）；</w:t>
            </w:r>
          </w:p>
        </w:tc>
        <w:tc>
          <w:tcPr>
            <w:tcW w:w="2701" w:type="dxa"/>
            <w:vAlign w:val="top"/>
          </w:tcPr>
          <w:p>
            <w:pPr>
              <w:numPr>
                <w:ilvl w:val="0"/>
                <w:numId w:val="0"/>
              </w:numPr>
              <w:adjustRightInd w:val="0"/>
              <w:spacing w:line="360" w:lineRule="auto"/>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202</w:t>
            </w:r>
            <w:r>
              <w:rPr>
                <w:rFonts w:hint="eastAsia" w:ascii="宋体" w:hAnsi="宋体" w:cs="宋体"/>
                <w:color w:val="auto"/>
                <w:sz w:val="22"/>
                <w:szCs w:val="22"/>
                <w:lang w:val="en-US" w:eastAsia="zh-CN"/>
              </w:rPr>
              <w:t>2</w:t>
            </w:r>
            <w:r>
              <w:rPr>
                <w:rFonts w:hint="eastAsia" w:ascii="宋体" w:hAnsi="宋体" w:eastAsia="宋体" w:cs="宋体"/>
                <w:color w:val="auto"/>
                <w:sz w:val="22"/>
                <w:szCs w:val="22"/>
                <w:lang w:val="en-US" w:eastAsia="zh-CN"/>
              </w:rPr>
              <w:t>年</w:t>
            </w:r>
            <w:r>
              <w:rPr>
                <w:rFonts w:hint="eastAsia" w:ascii="宋体" w:hAnsi="宋体" w:cs="宋体"/>
                <w:color w:val="auto"/>
                <w:sz w:val="22"/>
                <w:szCs w:val="22"/>
                <w:lang w:val="en-US" w:eastAsia="zh-CN"/>
              </w:rPr>
              <w:t>7</w:t>
            </w:r>
            <w:r>
              <w:rPr>
                <w:rFonts w:hint="eastAsia" w:ascii="宋体" w:hAnsi="宋体" w:eastAsia="宋体" w:cs="宋体"/>
                <w:color w:val="auto"/>
                <w:sz w:val="22"/>
                <w:szCs w:val="22"/>
                <w:lang w:val="en-US" w:eastAsia="zh-CN"/>
              </w:rPr>
              <w:t>月3</w:t>
            </w:r>
            <w:r>
              <w:rPr>
                <w:rFonts w:hint="eastAsia" w:ascii="宋体" w:hAnsi="宋体" w:cs="宋体"/>
                <w:color w:val="auto"/>
                <w:sz w:val="22"/>
                <w:szCs w:val="22"/>
                <w:lang w:val="en-US" w:eastAsia="zh-CN"/>
              </w:rPr>
              <w:t>1</w:t>
            </w:r>
            <w:r>
              <w:rPr>
                <w:rFonts w:hint="eastAsia" w:ascii="宋体" w:hAnsi="宋体" w:eastAsia="宋体" w:cs="宋体"/>
                <w:color w:val="auto"/>
                <w:sz w:val="22"/>
                <w:szCs w:val="22"/>
                <w:lang w:val="en-US" w:eastAsia="zh-CN"/>
              </w:rPr>
              <w:t>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9" w:hRule="atLeast"/>
        </w:trPr>
        <w:tc>
          <w:tcPr>
            <w:tcW w:w="938" w:type="dxa"/>
            <w:vAlign w:val="top"/>
          </w:tcPr>
          <w:p>
            <w:pPr>
              <w:numPr>
                <w:ilvl w:val="0"/>
                <w:numId w:val="0"/>
              </w:numPr>
              <w:adjustRightInd w:val="0"/>
              <w:spacing w:line="360" w:lineRule="auto"/>
              <w:jc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2</w:t>
            </w:r>
          </w:p>
        </w:tc>
        <w:tc>
          <w:tcPr>
            <w:tcW w:w="1877" w:type="dxa"/>
            <w:vAlign w:val="top"/>
          </w:tcPr>
          <w:p>
            <w:pPr>
              <w:numPr>
                <w:ilvl w:val="0"/>
                <w:numId w:val="0"/>
              </w:numPr>
              <w:adjustRightInd w:val="0"/>
              <w:spacing w:line="360" w:lineRule="auto"/>
              <w:ind w:left="0" w:leftChars="0" w:firstLine="0" w:firstLineChars="0"/>
              <w:rPr>
                <w:rFonts w:hint="eastAsia" w:ascii="宋体" w:hAnsi="宋体" w:eastAsia="宋体" w:cs="宋体"/>
                <w:color w:val="auto"/>
                <w:sz w:val="22"/>
                <w:szCs w:val="22"/>
                <w:lang w:eastAsia="zh-CN"/>
              </w:rPr>
            </w:pPr>
            <w:r>
              <w:rPr>
                <w:rFonts w:hint="eastAsia" w:ascii="宋体" w:hAnsi="宋体"/>
                <w:color w:val="auto"/>
                <w:sz w:val="22"/>
                <w:szCs w:val="22"/>
                <w:lang w:val="en-US" w:eastAsia="zh-CN"/>
              </w:rPr>
              <w:t>女离退休人员</w:t>
            </w:r>
            <w:r>
              <w:rPr>
                <w:rFonts w:hint="eastAsia" w:ascii="宋体" w:hAnsi="宋体"/>
                <w:color w:val="auto"/>
                <w:sz w:val="22"/>
                <w:szCs w:val="22"/>
              </w:rPr>
              <w:t>体检</w:t>
            </w:r>
          </w:p>
        </w:tc>
        <w:tc>
          <w:tcPr>
            <w:tcW w:w="664" w:type="dxa"/>
            <w:vAlign w:val="top"/>
          </w:tcPr>
          <w:p>
            <w:pPr>
              <w:numPr>
                <w:ilvl w:val="0"/>
                <w:numId w:val="0"/>
              </w:numPr>
              <w:adjustRightInd w:val="0"/>
              <w:spacing w:line="360" w:lineRule="auto"/>
              <w:rPr>
                <w:rFonts w:hint="default" w:ascii="宋体" w:hAnsi="宋体" w:eastAsia="宋体" w:cs="宋体"/>
                <w:color w:val="auto"/>
                <w:sz w:val="22"/>
                <w:szCs w:val="22"/>
                <w:lang w:val="en-US" w:eastAsia="zh-CN"/>
              </w:rPr>
            </w:pPr>
            <w:r>
              <w:rPr>
                <w:rFonts w:hint="eastAsia" w:ascii="宋体" w:hAnsi="宋体" w:cs="宋体"/>
                <w:color w:val="auto"/>
                <w:sz w:val="22"/>
                <w:szCs w:val="22"/>
                <w:lang w:val="en-US" w:eastAsia="zh-CN"/>
              </w:rPr>
              <w:t>46</w:t>
            </w:r>
          </w:p>
        </w:tc>
        <w:tc>
          <w:tcPr>
            <w:tcW w:w="4236" w:type="dxa"/>
            <w:vAlign w:val="top"/>
          </w:tcPr>
          <w:p>
            <w:pPr>
              <w:numPr>
                <w:ilvl w:val="0"/>
                <w:numId w:val="0"/>
              </w:numPr>
              <w:adjustRightInd w:val="0"/>
              <w:spacing w:line="360" w:lineRule="auto"/>
              <w:rPr>
                <w:rFonts w:hint="eastAsia" w:ascii="宋体" w:hAnsi="宋体" w:eastAsia="宋体" w:cs="宋体"/>
                <w:b w:val="0"/>
                <w:bCs w:val="0"/>
                <w:color w:val="auto"/>
                <w:sz w:val="22"/>
                <w:szCs w:val="22"/>
                <w:lang w:eastAsia="zh-CN"/>
              </w:rPr>
            </w:pPr>
            <w:r>
              <w:rPr>
                <w:rFonts w:hint="eastAsia" w:ascii="宋体" w:hAnsi="宋体" w:eastAsia="宋体" w:cs="宋体"/>
                <w:b w:val="0"/>
                <w:bCs w:val="0"/>
                <w:color w:val="auto"/>
                <w:sz w:val="22"/>
                <w:szCs w:val="22"/>
                <w:lang w:val="en-US" w:eastAsia="zh-CN"/>
              </w:rPr>
              <w:t>体检标准不超</w:t>
            </w:r>
            <w:r>
              <w:rPr>
                <w:rFonts w:hint="eastAsia" w:ascii="宋体" w:hAnsi="宋体" w:cs="宋体"/>
                <w:b w:val="0"/>
                <w:bCs w:val="0"/>
                <w:color w:val="auto"/>
                <w:sz w:val="22"/>
                <w:szCs w:val="22"/>
                <w:lang w:val="en-US" w:eastAsia="zh-CN"/>
              </w:rPr>
              <w:t>1504.20</w:t>
            </w:r>
            <w:r>
              <w:rPr>
                <w:rFonts w:hint="eastAsia" w:ascii="宋体" w:hAnsi="宋体" w:eastAsia="宋体" w:cs="宋体"/>
                <w:b w:val="0"/>
                <w:bCs w:val="0"/>
                <w:color w:val="auto"/>
                <w:sz w:val="22"/>
                <w:szCs w:val="22"/>
                <w:lang w:val="en-US" w:eastAsia="zh-CN"/>
              </w:rPr>
              <w:t>元/人，</w:t>
            </w:r>
            <w:r>
              <w:rPr>
                <w:rFonts w:hint="eastAsia" w:ascii="宋体" w:hAnsi="宋体" w:eastAsia="宋体" w:cs="宋体"/>
                <w:b w:val="0"/>
                <w:bCs w:val="0"/>
                <w:color w:val="auto"/>
                <w:sz w:val="22"/>
                <w:szCs w:val="22"/>
                <w:lang w:eastAsia="zh-CN"/>
              </w:rPr>
              <w:t>按指定检查项目体检（详见</w:t>
            </w:r>
            <w:r>
              <w:rPr>
                <w:rFonts w:hint="eastAsia" w:ascii="宋体" w:hAnsi="宋体" w:eastAsia="宋体" w:cs="宋体"/>
                <w:b w:val="0"/>
                <w:bCs w:val="0"/>
                <w:color w:val="auto"/>
                <w:sz w:val="22"/>
                <w:szCs w:val="22"/>
              </w:rPr>
              <w:t>体检项目</w:t>
            </w:r>
            <w:r>
              <w:rPr>
                <w:rFonts w:hint="eastAsia" w:ascii="宋体" w:hAnsi="宋体" w:eastAsia="宋体" w:cs="宋体"/>
                <w:b w:val="0"/>
                <w:bCs w:val="0"/>
                <w:color w:val="auto"/>
                <w:sz w:val="22"/>
                <w:szCs w:val="22"/>
                <w:lang w:eastAsia="zh-CN"/>
              </w:rPr>
              <w:t>及意义）</w:t>
            </w:r>
            <w:r>
              <w:rPr>
                <w:rFonts w:hint="eastAsia" w:ascii="宋体" w:hAnsi="宋体" w:cs="宋体"/>
                <w:b w:val="0"/>
                <w:bCs w:val="0"/>
                <w:color w:val="auto"/>
                <w:sz w:val="22"/>
                <w:szCs w:val="22"/>
                <w:lang w:eastAsia="zh-CN"/>
              </w:rPr>
              <w:t>；</w:t>
            </w:r>
          </w:p>
        </w:tc>
        <w:tc>
          <w:tcPr>
            <w:tcW w:w="2701" w:type="dxa"/>
            <w:vAlign w:val="top"/>
          </w:tcPr>
          <w:p>
            <w:pPr>
              <w:numPr>
                <w:ilvl w:val="0"/>
                <w:numId w:val="0"/>
              </w:numPr>
              <w:adjustRightInd w:val="0"/>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202</w:t>
            </w:r>
            <w:r>
              <w:rPr>
                <w:rFonts w:hint="eastAsia" w:ascii="宋体" w:hAnsi="宋体" w:cs="宋体"/>
                <w:color w:val="auto"/>
                <w:sz w:val="22"/>
                <w:szCs w:val="22"/>
                <w:lang w:val="en-US" w:eastAsia="zh-CN"/>
              </w:rPr>
              <w:t>2</w:t>
            </w:r>
            <w:r>
              <w:rPr>
                <w:rFonts w:hint="eastAsia" w:ascii="宋体" w:hAnsi="宋体" w:eastAsia="宋体" w:cs="宋体"/>
                <w:color w:val="auto"/>
                <w:sz w:val="22"/>
                <w:szCs w:val="22"/>
                <w:lang w:val="en-US" w:eastAsia="zh-CN"/>
              </w:rPr>
              <w:t>年</w:t>
            </w:r>
            <w:r>
              <w:rPr>
                <w:rFonts w:hint="eastAsia" w:ascii="宋体" w:hAnsi="宋体" w:cs="宋体"/>
                <w:color w:val="auto"/>
                <w:sz w:val="22"/>
                <w:szCs w:val="22"/>
                <w:lang w:val="en-US" w:eastAsia="zh-CN"/>
              </w:rPr>
              <w:t>7</w:t>
            </w:r>
            <w:r>
              <w:rPr>
                <w:rFonts w:hint="eastAsia" w:ascii="宋体" w:hAnsi="宋体" w:eastAsia="宋体" w:cs="宋体"/>
                <w:color w:val="auto"/>
                <w:sz w:val="22"/>
                <w:szCs w:val="22"/>
                <w:lang w:val="en-US" w:eastAsia="zh-CN"/>
              </w:rPr>
              <w:t>月3</w:t>
            </w:r>
            <w:r>
              <w:rPr>
                <w:rFonts w:hint="eastAsia" w:ascii="宋体" w:hAnsi="宋体" w:cs="宋体"/>
                <w:color w:val="auto"/>
                <w:sz w:val="22"/>
                <w:szCs w:val="22"/>
                <w:lang w:val="en-US" w:eastAsia="zh-CN"/>
              </w:rPr>
              <w:t>1</w:t>
            </w:r>
            <w:r>
              <w:rPr>
                <w:rFonts w:hint="eastAsia" w:ascii="宋体" w:hAnsi="宋体" w:eastAsia="宋体" w:cs="宋体"/>
                <w:color w:val="auto"/>
                <w:sz w:val="22"/>
                <w:szCs w:val="22"/>
                <w:lang w:val="en-US" w:eastAsia="zh-CN"/>
              </w:rPr>
              <w:t>日前</w:t>
            </w:r>
          </w:p>
        </w:tc>
      </w:tr>
    </w:tbl>
    <w:p>
      <w:pPr>
        <w:widowControl/>
        <w:numPr>
          <w:ilvl w:val="0"/>
          <w:numId w:val="0"/>
        </w:numPr>
        <w:wordWrap/>
        <w:adjustRightInd/>
        <w:snapToGrid/>
        <w:spacing w:line="560" w:lineRule="exact"/>
        <w:jc w:val="left"/>
        <w:textAlignment w:val="auto"/>
        <w:outlineLvl w:val="9"/>
        <w:rPr>
          <w:rFonts w:hint="eastAsia" w:ascii="宋体" w:hAnsi="宋体"/>
          <w:color w:val="auto"/>
          <w:lang w:eastAsia="zh-CN"/>
        </w:rPr>
      </w:pPr>
    </w:p>
    <w:p>
      <w:pPr>
        <w:spacing w:line="360" w:lineRule="auto"/>
        <w:ind w:left="469" w:leftChars="152" w:hanging="150" w:hangingChars="47"/>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三、体检项目及意义：</w:t>
      </w:r>
    </w:p>
    <w:tbl>
      <w:tblPr>
        <w:tblStyle w:val="2"/>
        <w:tblW w:w="10431" w:type="dxa"/>
        <w:tblInd w:w="-3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735"/>
        <w:gridCol w:w="3985"/>
        <w:gridCol w:w="3800"/>
        <w:gridCol w:w="956"/>
        <w:gridCol w:w="9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b/>
                <w:bCs w:val="0"/>
                <w:i w:val="0"/>
                <w:color w:val="000000"/>
                <w:sz w:val="22"/>
                <w:szCs w:val="22"/>
                <w:u w:val="none"/>
              </w:rPr>
            </w:pPr>
            <w:r>
              <w:rPr>
                <w:rFonts w:hint="eastAsia" w:ascii="宋体" w:hAnsi="宋体" w:eastAsia="宋体" w:cs="宋体"/>
                <w:b/>
                <w:bCs w:val="0"/>
                <w:i w:val="0"/>
                <w:color w:val="000000"/>
                <w:kern w:val="0"/>
                <w:sz w:val="22"/>
                <w:szCs w:val="22"/>
                <w:u w:val="none"/>
                <w:lang w:val="en-US" w:eastAsia="zh-CN" w:bidi="ar-SA"/>
              </w:rPr>
              <w:t>序号</w:t>
            </w:r>
          </w:p>
        </w:tc>
        <w:tc>
          <w:tcPr>
            <w:tcW w:w="3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b/>
                <w:bCs w:val="0"/>
                <w:i w:val="0"/>
                <w:color w:val="000000"/>
                <w:sz w:val="22"/>
                <w:szCs w:val="22"/>
                <w:u w:val="none"/>
              </w:rPr>
            </w:pPr>
            <w:r>
              <w:rPr>
                <w:rFonts w:hint="eastAsia" w:ascii="宋体" w:hAnsi="宋体" w:eastAsia="宋体" w:cs="宋体"/>
                <w:b/>
                <w:bCs w:val="0"/>
                <w:i w:val="0"/>
                <w:color w:val="000000"/>
                <w:kern w:val="0"/>
                <w:sz w:val="22"/>
                <w:szCs w:val="22"/>
                <w:u w:val="none"/>
                <w:lang w:val="en-US" w:eastAsia="zh-CN" w:bidi="ar-SA"/>
              </w:rPr>
              <w:t>检查项目</w:t>
            </w:r>
          </w:p>
        </w:tc>
        <w:tc>
          <w:tcPr>
            <w:tcW w:w="3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b/>
                <w:bCs w:val="0"/>
                <w:i w:val="0"/>
                <w:color w:val="000000"/>
                <w:sz w:val="22"/>
                <w:szCs w:val="22"/>
                <w:u w:val="none"/>
              </w:rPr>
            </w:pPr>
            <w:r>
              <w:rPr>
                <w:rFonts w:hint="eastAsia" w:ascii="宋体" w:hAnsi="宋体" w:eastAsia="宋体" w:cs="宋体"/>
                <w:b/>
                <w:bCs w:val="0"/>
                <w:i w:val="0"/>
                <w:color w:val="000000"/>
                <w:kern w:val="0"/>
                <w:sz w:val="22"/>
                <w:szCs w:val="22"/>
                <w:u w:val="none"/>
                <w:lang w:val="en-US" w:eastAsia="zh-CN" w:bidi="ar-SA"/>
              </w:rPr>
              <w:t>检查意义</w:t>
            </w:r>
          </w:p>
        </w:tc>
        <w:tc>
          <w:tcPr>
            <w:tcW w:w="9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b/>
                <w:bCs w:val="0"/>
                <w:i w:val="0"/>
                <w:color w:val="000000"/>
                <w:sz w:val="22"/>
                <w:szCs w:val="22"/>
                <w:u w:val="none"/>
              </w:rPr>
            </w:pPr>
            <w:r>
              <w:rPr>
                <w:rFonts w:hint="eastAsia" w:ascii="宋体" w:hAnsi="宋体" w:eastAsia="宋体" w:cs="宋体"/>
                <w:b/>
                <w:bCs w:val="0"/>
                <w:i w:val="0"/>
                <w:color w:val="000000"/>
                <w:kern w:val="0"/>
                <w:sz w:val="22"/>
                <w:szCs w:val="22"/>
                <w:u w:val="none"/>
                <w:lang w:val="en-US" w:eastAsia="zh-CN" w:bidi="ar-SA"/>
              </w:rPr>
              <w:t>男</w:t>
            </w:r>
          </w:p>
        </w:tc>
        <w:tc>
          <w:tcPr>
            <w:tcW w:w="9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b/>
                <w:bCs w:val="0"/>
                <w:i w:val="0"/>
                <w:color w:val="000000"/>
                <w:sz w:val="22"/>
                <w:szCs w:val="22"/>
                <w:u w:val="none"/>
              </w:rPr>
            </w:pPr>
            <w:r>
              <w:rPr>
                <w:rFonts w:hint="eastAsia" w:ascii="宋体" w:hAnsi="宋体" w:eastAsia="宋体" w:cs="宋体"/>
                <w:b/>
                <w:bCs w:val="0"/>
                <w:i w:val="0"/>
                <w:color w:val="000000"/>
                <w:kern w:val="0"/>
                <w:sz w:val="22"/>
                <w:szCs w:val="22"/>
                <w:u w:val="none"/>
                <w:lang w:val="en-US" w:eastAsia="zh-CN" w:bidi="ar-SA"/>
              </w:rPr>
              <w:t>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SA"/>
              </w:rPr>
              <w:t>1</w:t>
            </w:r>
          </w:p>
        </w:tc>
        <w:tc>
          <w:tcPr>
            <w:tcW w:w="3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SA"/>
              </w:rPr>
              <w:t>体格检查</w:t>
            </w:r>
          </w:p>
        </w:tc>
        <w:tc>
          <w:tcPr>
            <w:tcW w:w="3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SA"/>
              </w:rPr>
              <w:t>身高、体重、血压、脉搏、视力</w:t>
            </w:r>
          </w:p>
        </w:tc>
        <w:tc>
          <w:tcPr>
            <w:tcW w:w="9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SA"/>
              </w:rPr>
              <w:t>√</w:t>
            </w:r>
          </w:p>
        </w:tc>
        <w:tc>
          <w:tcPr>
            <w:tcW w:w="9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SA"/>
              </w:rPr>
              <w:t>2</w:t>
            </w:r>
          </w:p>
        </w:tc>
        <w:tc>
          <w:tcPr>
            <w:tcW w:w="3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SA"/>
              </w:rPr>
              <w:t xml:space="preserve">内科检查            </w:t>
            </w:r>
          </w:p>
        </w:tc>
        <w:tc>
          <w:tcPr>
            <w:tcW w:w="3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SA"/>
              </w:rPr>
              <w:t>发育、营养、心、肺、腹检查等</w:t>
            </w:r>
          </w:p>
        </w:tc>
        <w:tc>
          <w:tcPr>
            <w:tcW w:w="9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SA"/>
              </w:rPr>
              <w:t>√</w:t>
            </w:r>
          </w:p>
        </w:tc>
        <w:tc>
          <w:tcPr>
            <w:tcW w:w="9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SA"/>
              </w:rPr>
              <w:t>3</w:t>
            </w:r>
          </w:p>
        </w:tc>
        <w:tc>
          <w:tcPr>
            <w:tcW w:w="3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SA"/>
              </w:rPr>
              <w:t xml:space="preserve">外科检查          </w:t>
            </w:r>
          </w:p>
        </w:tc>
        <w:tc>
          <w:tcPr>
            <w:tcW w:w="3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SA"/>
              </w:rPr>
              <w:t>皮肤、淋巴结、甲状腺、四肢、脊柱检查等</w:t>
            </w:r>
          </w:p>
        </w:tc>
        <w:tc>
          <w:tcPr>
            <w:tcW w:w="9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SA"/>
              </w:rPr>
              <w:t>√</w:t>
            </w:r>
          </w:p>
        </w:tc>
        <w:tc>
          <w:tcPr>
            <w:tcW w:w="9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SA"/>
              </w:rPr>
              <w:t>4</w:t>
            </w:r>
          </w:p>
        </w:tc>
        <w:tc>
          <w:tcPr>
            <w:tcW w:w="3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SA"/>
              </w:rPr>
              <w:t>眼科检查（裂隙灯检查）+眼底</w:t>
            </w:r>
          </w:p>
        </w:tc>
        <w:tc>
          <w:tcPr>
            <w:tcW w:w="3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SA"/>
              </w:rPr>
              <w:t>了解视力状况，判断眼睛视力、色觉功能；检查眼睑、泪囊、结膜、眼球是否存在异常情况。</w:t>
            </w:r>
          </w:p>
        </w:tc>
        <w:tc>
          <w:tcPr>
            <w:tcW w:w="9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SA"/>
              </w:rPr>
              <w:t>√</w:t>
            </w:r>
          </w:p>
        </w:tc>
        <w:tc>
          <w:tcPr>
            <w:tcW w:w="9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SA"/>
              </w:rPr>
              <w:t>5</w:t>
            </w:r>
          </w:p>
        </w:tc>
        <w:tc>
          <w:tcPr>
            <w:tcW w:w="3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SA"/>
              </w:rPr>
              <w:t xml:space="preserve">耳鼻喉科检查    </w:t>
            </w:r>
          </w:p>
        </w:tc>
        <w:tc>
          <w:tcPr>
            <w:tcW w:w="3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SA"/>
              </w:rPr>
              <w:t xml:space="preserve">外耳、中耳、鼻、口咽、扁桃体检查等       </w:t>
            </w:r>
          </w:p>
        </w:tc>
        <w:tc>
          <w:tcPr>
            <w:tcW w:w="9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SA"/>
              </w:rPr>
              <w:t>√</w:t>
            </w:r>
          </w:p>
        </w:tc>
        <w:tc>
          <w:tcPr>
            <w:tcW w:w="9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SA"/>
              </w:rPr>
              <w:t>6</w:t>
            </w:r>
          </w:p>
        </w:tc>
        <w:tc>
          <w:tcPr>
            <w:tcW w:w="3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SA"/>
              </w:rPr>
              <w:t xml:space="preserve">血常规二十四项      </w:t>
            </w:r>
          </w:p>
        </w:tc>
        <w:tc>
          <w:tcPr>
            <w:tcW w:w="3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SA"/>
              </w:rPr>
              <w:t>检查贫血、感染、血液病等引起的血液变化</w:t>
            </w:r>
          </w:p>
        </w:tc>
        <w:tc>
          <w:tcPr>
            <w:tcW w:w="9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SA"/>
              </w:rPr>
              <w:t>√</w:t>
            </w:r>
          </w:p>
        </w:tc>
        <w:tc>
          <w:tcPr>
            <w:tcW w:w="9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SA"/>
              </w:rPr>
              <w:t>7</w:t>
            </w:r>
          </w:p>
        </w:tc>
        <w:tc>
          <w:tcPr>
            <w:tcW w:w="3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SA"/>
              </w:rPr>
              <w:t>肝功能十项：</w:t>
            </w:r>
            <w:r>
              <w:rPr>
                <w:rStyle w:val="5"/>
                <w:b w:val="0"/>
                <w:bCs/>
                <w:sz w:val="22"/>
                <w:szCs w:val="22"/>
                <w:lang w:val="en-US" w:eastAsia="zh-CN" w:bidi="ar-SA"/>
              </w:rPr>
              <w:br w:type="textWrapping"/>
            </w:r>
            <w:r>
              <w:rPr>
                <w:rStyle w:val="5"/>
                <w:b w:val="0"/>
                <w:bCs/>
                <w:sz w:val="22"/>
                <w:szCs w:val="22"/>
                <w:lang w:val="en-US" w:eastAsia="zh-CN" w:bidi="ar-SA"/>
              </w:rPr>
              <w:t xml:space="preserve">ALT、AST、 γ-GT  、T﹒Prot、ALB 、GLOB、A/G、LDH、ALP、T-BIL、D-BIL、I-BIL、谷草/谷丙       </w:t>
            </w:r>
          </w:p>
        </w:tc>
        <w:tc>
          <w:tcPr>
            <w:tcW w:w="3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SA"/>
              </w:rPr>
              <w:t>全面反映肝脏功能状况及黄疸程度检测</w:t>
            </w:r>
          </w:p>
        </w:tc>
        <w:tc>
          <w:tcPr>
            <w:tcW w:w="9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SA"/>
              </w:rPr>
              <w:t>√</w:t>
            </w:r>
          </w:p>
        </w:tc>
        <w:tc>
          <w:tcPr>
            <w:tcW w:w="9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SA"/>
              </w:rPr>
              <w:t>8</w:t>
            </w:r>
          </w:p>
        </w:tc>
        <w:tc>
          <w:tcPr>
            <w:tcW w:w="3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SA"/>
              </w:rPr>
              <w:t>肾功三项：</w:t>
            </w:r>
            <w:r>
              <w:rPr>
                <w:rStyle w:val="5"/>
                <w:b w:val="0"/>
                <w:bCs/>
                <w:sz w:val="22"/>
                <w:szCs w:val="22"/>
                <w:lang w:val="en-US" w:eastAsia="zh-CN" w:bidi="ar-SA"/>
              </w:rPr>
              <w:br w:type="textWrapping"/>
            </w:r>
            <w:r>
              <w:rPr>
                <w:rStyle w:val="5"/>
                <w:b w:val="0"/>
                <w:bCs/>
                <w:sz w:val="22"/>
                <w:szCs w:val="22"/>
                <w:lang w:val="en-US" w:eastAsia="zh-CN" w:bidi="ar-SA"/>
              </w:rPr>
              <w:t xml:space="preserve">UA、Cr、BUN              </w:t>
            </w:r>
          </w:p>
        </w:tc>
        <w:tc>
          <w:tcPr>
            <w:tcW w:w="3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SA"/>
              </w:rPr>
              <w:t>检查肾功能及相关代谢性疾病</w:t>
            </w:r>
          </w:p>
        </w:tc>
        <w:tc>
          <w:tcPr>
            <w:tcW w:w="9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SA"/>
              </w:rPr>
              <w:t>√</w:t>
            </w:r>
          </w:p>
        </w:tc>
        <w:tc>
          <w:tcPr>
            <w:tcW w:w="9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SA"/>
              </w:rPr>
              <w:t>9</w:t>
            </w:r>
          </w:p>
        </w:tc>
        <w:tc>
          <w:tcPr>
            <w:tcW w:w="3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SA"/>
              </w:rPr>
              <w:t xml:space="preserve">血糖（GLU）  </w:t>
            </w:r>
            <w:r>
              <w:rPr>
                <w:rStyle w:val="5"/>
                <w:b w:val="0"/>
                <w:bCs/>
                <w:sz w:val="22"/>
                <w:szCs w:val="22"/>
                <w:lang w:val="en-US" w:eastAsia="zh-CN" w:bidi="ar-SA"/>
              </w:rPr>
              <w:t xml:space="preserve">              </w:t>
            </w:r>
          </w:p>
        </w:tc>
        <w:tc>
          <w:tcPr>
            <w:tcW w:w="3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SA"/>
              </w:rPr>
              <w:t>筛查糖尿病</w:t>
            </w:r>
          </w:p>
        </w:tc>
        <w:tc>
          <w:tcPr>
            <w:tcW w:w="9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SA"/>
              </w:rPr>
              <w:t>√</w:t>
            </w:r>
          </w:p>
        </w:tc>
        <w:tc>
          <w:tcPr>
            <w:tcW w:w="9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SA"/>
              </w:rPr>
              <w:t>10</w:t>
            </w:r>
          </w:p>
        </w:tc>
        <w:tc>
          <w:tcPr>
            <w:tcW w:w="3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SA"/>
              </w:rPr>
              <w:t>血脂四项</w:t>
            </w:r>
            <w:r>
              <w:rPr>
                <w:rStyle w:val="5"/>
                <w:b w:val="0"/>
                <w:bCs/>
                <w:sz w:val="22"/>
                <w:szCs w:val="22"/>
                <w:lang w:val="en-US" w:eastAsia="zh-CN" w:bidi="ar-SA"/>
              </w:rPr>
              <w:br w:type="textWrapping"/>
            </w:r>
            <w:r>
              <w:rPr>
                <w:rStyle w:val="5"/>
                <w:b w:val="0"/>
                <w:bCs/>
                <w:sz w:val="22"/>
                <w:szCs w:val="22"/>
                <w:lang w:val="en-US" w:eastAsia="zh-CN" w:bidi="ar-SA"/>
              </w:rPr>
              <w:t xml:space="preserve">CHOL、TG、HDL-CH、LDL-CH                           </w:t>
            </w:r>
          </w:p>
        </w:tc>
        <w:tc>
          <w:tcPr>
            <w:tcW w:w="3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SA"/>
              </w:rPr>
              <w:t>用于监测脂代谢</w:t>
            </w:r>
          </w:p>
        </w:tc>
        <w:tc>
          <w:tcPr>
            <w:tcW w:w="9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SA"/>
              </w:rPr>
              <w:t>√</w:t>
            </w:r>
          </w:p>
        </w:tc>
        <w:tc>
          <w:tcPr>
            <w:tcW w:w="9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SA"/>
              </w:rPr>
              <w:t>11</w:t>
            </w:r>
          </w:p>
        </w:tc>
        <w:tc>
          <w:tcPr>
            <w:tcW w:w="3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SA"/>
              </w:rPr>
              <w:t>心四酶：</w:t>
            </w:r>
            <w:r>
              <w:rPr>
                <w:rStyle w:val="5"/>
                <w:b w:val="0"/>
                <w:bCs/>
                <w:sz w:val="22"/>
                <w:szCs w:val="22"/>
                <w:lang w:val="en-US" w:eastAsia="zh-CN" w:bidi="ar-SA"/>
              </w:rPr>
              <w:br w:type="textWrapping"/>
            </w:r>
            <w:r>
              <w:rPr>
                <w:rStyle w:val="5"/>
                <w:b w:val="0"/>
                <w:bCs/>
                <w:sz w:val="22"/>
                <w:szCs w:val="22"/>
                <w:lang w:val="en-US" w:eastAsia="zh-CN" w:bidi="ar-SA"/>
              </w:rPr>
              <w:t xml:space="preserve"> CPK、AST、LDH、∝-HBDH</w:t>
            </w:r>
          </w:p>
        </w:tc>
        <w:tc>
          <w:tcPr>
            <w:tcW w:w="3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SA"/>
              </w:rPr>
              <w:t>用于心肌疾患的辅助诊断</w:t>
            </w:r>
          </w:p>
        </w:tc>
        <w:tc>
          <w:tcPr>
            <w:tcW w:w="9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SA"/>
              </w:rPr>
              <w:t>√</w:t>
            </w:r>
          </w:p>
        </w:tc>
        <w:tc>
          <w:tcPr>
            <w:tcW w:w="9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SA"/>
              </w:rPr>
              <w:t>12</w:t>
            </w:r>
          </w:p>
        </w:tc>
        <w:tc>
          <w:tcPr>
            <w:tcW w:w="3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SA"/>
              </w:rPr>
              <w:t>超敏C-反应蛋白（HCPP）</w:t>
            </w:r>
          </w:p>
        </w:tc>
        <w:tc>
          <w:tcPr>
            <w:tcW w:w="3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SA"/>
              </w:rPr>
              <w:t>心脑血管疾病风险预测指标</w:t>
            </w:r>
          </w:p>
        </w:tc>
        <w:tc>
          <w:tcPr>
            <w:tcW w:w="9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SA"/>
              </w:rPr>
              <w:t>√</w:t>
            </w:r>
          </w:p>
        </w:tc>
        <w:tc>
          <w:tcPr>
            <w:tcW w:w="9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0"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SA"/>
              </w:rPr>
              <w:t>13</w:t>
            </w:r>
          </w:p>
        </w:tc>
        <w:tc>
          <w:tcPr>
            <w:tcW w:w="398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SA"/>
              </w:rPr>
              <w:t>血流变学检测14项</w:t>
            </w:r>
          </w:p>
        </w:tc>
        <w:tc>
          <w:tcPr>
            <w:tcW w:w="38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SA"/>
              </w:rPr>
              <w:t>血液粘度监测，中风预报</w:t>
            </w:r>
          </w:p>
        </w:tc>
        <w:tc>
          <w:tcPr>
            <w:tcW w:w="9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SA"/>
              </w:rPr>
              <w:t>√</w:t>
            </w:r>
          </w:p>
        </w:tc>
        <w:tc>
          <w:tcPr>
            <w:tcW w:w="9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0"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SA"/>
              </w:rPr>
              <w:t>14</w:t>
            </w:r>
          </w:p>
        </w:tc>
        <w:tc>
          <w:tcPr>
            <w:tcW w:w="398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SA"/>
              </w:rPr>
              <w:t xml:space="preserve">心电图检查                      </w:t>
            </w:r>
          </w:p>
        </w:tc>
        <w:tc>
          <w:tcPr>
            <w:tcW w:w="38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SA"/>
              </w:rPr>
              <w:t>对心律失常、传导障碍、心肌缺血等诊断有重要价值</w:t>
            </w:r>
          </w:p>
        </w:tc>
        <w:tc>
          <w:tcPr>
            <w:tcW w:w="9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SA"/>
              </w:rPr>
              <w:t>√</w:t>
            </w:r>
          </w:p>
        </w:tc>
        <w:tc>
          <w:tcPr>
            <w:tcW w:w="9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0"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SA"/>
              </w:rPr>
              <w:t>15</w:t>
            </w:r>
          </w:p>
        </w:tc>
        <w:tc>
          <w:tcPr>
            <w:tcW w:w="398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SA"/>
              </w:rPr>
              <w:t>彩色B超检查（出图）：</w:t>
            </w:r>
            <w:r>
              <w:rPr>
                <w:rStyle w:val="5"/>
                <w:b w:val="0"/>
                <w:bCs/>
                <w:sz w:val="22"/>
                <w:szCs w:val="22"/>
                <w:lang w:val="en-US" w:eastAsia="zh-CN" w:bidi="ar-SA"/>
              </w:rPr>
              <w:br w:type="textWrapping"/>
            </w:r>
            <w:r>
              <w:rPr>
                <w:rStyle w:val="5"/>
                <w:b w:val="0"/>
                <w:bCs/>
                <w:sz w:val="22"/>
                <w:szCs w:val="22"/>
                <w:lang w:val="en-US" w:eastAsia="zh-CN" w:bidi="ar-SA"/>
              </w:rPr>
              <w:t>肝、胆、脾、胰、</w:t>
            </w:r>
            <w:r>
              <w:rPr>
                <w:rStyle w:val="5"/>
                <w:b w:val="0"/>
                <w:bCs/>
                <w:sz w:val="22"/>
                <w:szCs w:val="22"/>
                <w:lang w:val="en-US" w:eastAsia="zh-CN" w:bidi="ar-SA"/>
              </w:rPr>
              <w:br w:type="textWrapping"/>
            </w:r>
            <w:r>
              <w:rPr>
                <w:rStyle w:val="5"/>
                <w:b w:val="0"/>
                <w:bCs/>
                <w:sz w:val="22"/>
                <w:szCs w:val="22"/>
                <w:lang w:val="en-US" w:eastAsia="zh-CN" w:bidi="ar-SA"/>
              </w:rPr>
              <w:t>双肾、膀胱、输尿管、</w:t>
            </w:r>
            <w:r>
              <w:rPr>
                <w:rStyle w:val="5"/>
                <w:b w:val="0"/>
                <w:bCs/>
                <w:sz w:val="22"/>
                <w:szCs w:val="22"/>
                <w:lang w:val="en-US" w:eastAsia="zh-CN" w:bidi="ar-SA"/>
              </w:rPr>
              <w:br w:type="textWrapping"/>
            </w:r>
            <w:r>
              <w:rPr>
                <w:rStyle w:val="5"/>
                <w:b w:val="0"/>
                <w:bCs/>
                <w:sz w:val="22"/>
                <w:szCs w:val="22"/>
                <w:lang w:val="en-US" w:eastAsia="zh-CN" w:bidi="ar-SA"/>
              </w:rPr>
              <w:t>前列腺（男）、</w:t>
            </w:r>
            <w:r>
              <w:rPr>
                <w:rStyle w:val="5"/>
                <w:b w:val="0"/>
                <w:bCs/>
                <w:sz w:val="22"/>
                <w:szCs w:val="22"/>
                <w:lang w:val="en-US" w:eastAsia="zh-CN" w:bidi="ar-SA"/>
              </w:rPr>
              <w:br w:type="textWrapping"/>
            </w:r>
            <w:r>
              <w:rPr>
                <w:rStyle w:val="5"/>
                <w:b w:val="0"/>
                <w:bCs/>
                <w:sz w:val="22"/>
                <w:szCs w:val="22"/>
                <w:lang w:val="en-US" w:eastAsia="zh-CN" w:bidi="ar-SA"/>
              </w:rPr>
              <w:t>子宫及附件（女）</w:t>
            </w:r>
          </w:p>
        </w:tc>
        <w:tc>
          <w:tcPr>
            <w:tcW w:w="38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SA"/>
              </w:rPr>
              <w:t>检查结石、息肉、脂肪肝、炎症、肿物等</w:t>
            </w:r>
          </w:p>
        </w:tc>
        <w:tc>
          <w:tcPr>
            <w:tcW w:w="9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SA"/>
              </w:rPr>
              <w:t>√</w:t>
            </w:r>
          </w:p>
        </w:tc>
        <w:tc>
          <w:tcPr>
            <w:tcW w:w="9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SA"/>
              </w:rPr>
              <w:t>16</w:t>
            </w:r>
          </w:p>
        </w:tc>
        <w:tc>
          <w:tcPr>
            <w:tcW w:w="3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SA"/>
              </w:rPr>
              <w:t>数字化X光检查（DR）</w:t>
            </w:r>
            <w:r>
              <w:rPr>
                <w:rFonts w:hint="eastAsia" w:ascii="宋体" w:hAnsi="宋体" w:eastAsia="宋体" w:cs="宋体"/>
                <w:b w:val="0"/>
                <w:bCs/>
                <w:i w:val="0"/>
                <w:color w:val="000000"/>
                <w:kern w:val="0"/>
                <w:sz w:val="22"/>
                <w:szCs w:val="22"/>
                <w:u w:val="none"/>
                <w:lang w:val="en-US" w:eastAsia="zh-CN" w:bidi="ar-SA"/>
              </w:rPr>
              <w:br w:type="textWrapping"/>
            </w:r>
            <w:r>
              <w:rPr>
                <w:rStyle w:val="5"/>
                <w:b w:val="0"/>
                <w:bCs/>
                <w:sz w:val="22"/>
                <w:szCs w:val="22"/>
                <w:lang w:val="en-US" w:eastAsia="zh-CN" w:bidi="ar-SA"/>
              </w:rPr>
              <w:t>胸部正位DR检查</w:t>
            </w:r>
          </w:p>
        </w:tc>
        <w:tc>
          <w:tcPr>
            <w:tcW w:w="3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SA"/>
              </w:rPr>
              <w:t>筛查慢支、肺气肿、肺结核、肺癌、纵隔疾病、胸膜腔疾病、动脉硬化及部分器质性心脏病等</w:t>
            </w:r>
          </w:p>
        </w:tc>
        <w:tc>
          <w:tcPr>
            <w:tcW w:w="9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SA"/>
              </w:rPr>
              <w:t>√</w:t>
            </w:r>
          </w:p>
        </w:tc>
        <w:tc>
          <w:tcPr>
            <w:tcW w:w="9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SA"/>
              </w:rPr>
              <w:t>1</w:t>
            </w:r>
            <w:r>
              <w:rPr>
                <w:rFonts w:hint="eastAsia" w:ascii="宋体" w:hAnsi="宋体" w:cs="宋体"/>
                <w:b w:val="0"/>
                <w:bCs/>
                <w:i w:val="0"/>
                <w:color w:val="000000"/>
                <w:kern w:val="0"/>
                <w:sz w:val="22"/>
                <w:szCs w:val="22"/>
                <w:u w:val="none"/>
                <w:lang w:val="en-US" w:eastAsia="zh-CN" w:bidi="ar-SA"/>
              </w:rPr>
              <w:t>7</w:t>
            </w:r>
          </w:p>
        </w:tc>
        <w:tc>
          <w:tcPr>
            <w:tcW w:w="3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SA"/>
              </w:rPr>
              <w:t xml:space="preserve">尿常规十项 </w:t>
            </w:r>
          </w:p>
        </w:tc>
        <w:tc>
          <w:tcPr>
            <w:tcW w:w="3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SA"/>
              </w:rPr>
              <w:t>泌尿及代谢系统疾病诊断</w:t>
            </w:r>
          </w:p>
        </w:tc>
        <w:tc>
          <w:tcPr>
            <w:tcW w:w="9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SA"/>
              </w:rPr>
              <w:t>√</w:t>
            </w:r>
          </w:p>
        </w:tc>
        <w:tc>
          <w:tcPr>
            <w:tcW w:w="9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0"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val="0"/>
                <w:bCs/>
                <w:i w:val="0"/>
                <w:color w:val="000000"/>
                <w:sz w:val="22"/>
                <w:szCs w:val="22"/>
                <w:u w:val="none"/>
              </w:rPr>
            </w:pPr>
            <w:r>
              <w:rPr>
                <w:rFonts w:hint="eastAsia" w:ascii="宋体" w:hAnsi="宋体" w:cs="宋体"/>
                <w:b w:val="0"/>
                <w:bCs/>
                <w:i w:val="0"/>
                <w:color w:val="000000"/>
                <w:kern w:val="0"/>
                <w:sz w:val="22"/>
                <w:szCs w:val="22"/>
                <w:u w:val="none"/>
                <w:lang w:val="en-US" w:eastAsia="zh-CN" w:bidi="ar-SA"/>
              </w:rPr>
              <w:t>18</w:t>
            </w:r>
          </w:p>
        </w:tc>
        <w:tc>
          <w:tcPr>
            <w:tcW w:w="398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SA"/>
              </w:rPr>
              <w:t xml:space="preserve">甲状腺功能：                          </w:t>
            </w:r>
            <w:r>
              <w:rPr>
                <w:rStyle w:val="5"/>
                <w:b w:val="0"/>
                <w:bCs/>
                <w:sz w:val="22"/>
                <w:szCs w:val="22"/>
                <w:lang w:val="en-US" w:eastAsia="zh-CN" w:bidi="ar-SA"/>
              </w:rPr>
              <w:t>FT3、FT4、hTSH</w:t>
            </w:r>
          </w:p>
        </w:tc>
        <w:tc>
          <w:tcPr>
            <w:tcW w:w="38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SA"/>
              </w:rPr>
              <w:t>诊断甲状腺机能亢进或甲状腺机能低下等疾病</w:t>
            </w:r>
          </w:p>
        </w:tc>
        <w:tc>
          <w:tcPr>
            <w:tcW w:w="9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SA"/>
              </w:rPr>
              <w:t>√</w:t>
            </w:r>
          </w:p>
        </w:tc>
        <w:tc>
          <w:tcPr>
            <w:tcW w:w="9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b w:val="0"/>
                <w:bCs/>
                <w:i w:val="0"/>
                <w:color w:val="000000"/>
                <w:sz w:val="22"/>
                <w:szCs w:val="22"/>
                <w:u w:val="none"/>
              </w:rPr>
            </w:pPr>
            <w:r>
              <w:rPr>
                <w:rFonts w:hint="eastAsia" w:ascii="宋体" w:hAnsi="宋体" w:cs="宋体"/>
                <w:b w:val="0"/>
                <w:bCs/>
                <w:i w:val="0"/>
                <w:color w:val="000000"/>
                <w:kern w:val="0"/>
                <w:sz w:val="22"/>
                <w:szCs w:val="22"/>
                <w:u w:val="none"/>
                <w:lang w:val="en-US" w:eastAsia="zh-CN" w:bidi="ar-SA"/>
              </w:rPr>
              <w:t>19</w:t>
            </w:r>
          </w:p>
        </w:tc>
        <w:tc>
          <w:tcPr>
            <w:tcW w:w="3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SA"/>
              </w:rPr>
              <w:t>前列腺特异性抗原（PSA）（男）</w:t>
            </w:r>
          </w:p>
        </w:tc>
        <w:tc>
          <w:tcPr>
            <w:tcW w:w="38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SA"/>
              </w:rPr>
              <w:t>用于前列腺癌的诊断和鉴别诊断</w:t>
            </w:r>
          </w:p>
        </w:tc>
        <w:tc>
          <w:tcPr>
            <w:tcW w:w="95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SA"/>
              </w:rPr>
              <w:t>√</w:t>
            </w:r>
          </w:p>
        </w:tc>
        <w:tc>
          <w:tcPr>
            <w:tcW w:w="9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SA"/>
              </w:rPr>
              <w:t>2</w:t>
            </w:r>
            <w:r>
              <w:rPr>
                <w:rFonts w:hint="eastAsia" w:ascii="宋体" w:hAnsi="宋体" w:cs="宋体"/>
                <w:b w:val="0"/>
                <w:bCs/>
                <w:i w:val="0"/>
                <w:color w:val="000000"/>
                <w:kern w:val="0"/>
                <w:sz w:val="22"/>
                <w:szCs w:val="22"/>
                <w:u w:val="none"/>
                <w:lang w:val="en-US" w:eastAsia="zh-CN" w:bidi="ar-SA"/>
              </w:rPr>
              <w:t>0</w:t>
            </w:r>
          </w:p>
        </w:tc>
        <w:tc>
          <w:tcPr>
            <w:tcW w:w="3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SA"/>
              </w:rPr>
              <w:t>游离前列特异抗原（F-PSA)（男）</w:t>
            </w:r>
          </w:p>
        </w:tc>
        <w:tc>
          <w:tcPr>
            <w:tcW w:w="38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b w:val="0"/>
                <w:bCs/>
                <w:i w:val="0"/>
                <w:color w:val="000000"/>
                <w:sz w:val="22"/>
                <w:szCs w:val="22"/>
                <w:u w:val="none"/>
              </w:rPr>
            </w:pPr>
          </w:p>
        </w:tc>
        <w:tc>
          <w:tcPr>
            <w:tcW w:w="95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i w:val="0"/>
                <w:color w:val="000000"/>
                <w:sz w:val="22"/>
                <w:szCs w:val="22"/>
                <w:u w:val="none"/>
              </w:rPr>
            </w:pPr>
          </w:p>
        </w:tc>
        <w:tc>
          <w:tcPr>
            <w:tcW w:w="9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SA"/>
              </w:rPr>
              <w:t>2</w:t>
            </w:r>
            <w:r>
              <w:rPr>
                <w:rFonts w:hint="eastAsia" w:ascii="宋体" w:hAnsi="宋体" w:cs="宋体"/>
                <w:b w:val="0"/>
                <w:bCs/>
                <w:i w:val="0"/>
                <w:color w:val="000000"/>
                <w:kern w:val="0"/>
                <w:sz w:val="22"/>
                <w:szCs w:val="22"/>
                <w:u w:val="none"/>
                <w:lang w:val="en-US" w:eastAsia="zh-CN" w:bidi="ar-SA"/>
              </w:rPr>
              <w:t>1</w:t>
            </w:r>
          </w:p>
        </w:tc>
        <w:tc>
          <w:tcPr>
            <w:tcW w:w="3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SA"/>
              </w:rPr>
              <w:t>F-PSA/T-PSA（男）</w:t>
            </w:r>
          </w:p>
        </w:tc>
        <w:tc>
          <w:tcPr>
            <w:tcW w:w="38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b w:val="0"/>
                <w:bCs/>
                <w:i w:val="0"/>
                <w:color w:val="000000"/>
                <w:sz w:val="22"/>
                <w:szCs w:val="22"/>
                <w:u w:val="none"/>
              </w:rPr>
            </w:pPr>
          </w:p>
        </w:tc>
        <w:tc>
          <w:tcPr>
            <w:tcW w:w="95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i w:val="0"/>
                <w:color w:val="000000"/>
                <w:sz w:val="22"/>
                <w:szCs w:val="22"/>
                <w:u w:val="none"/>
              </w:rPr>
            </w:pPr>
          </w:p>
        </w:tc>
        <w:tc>
          <w:tcPr>
            <w:tcW w:w="9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b w:val="0"/>
                <w:bCs/>
                <w:i w:val="0"/>
                <w:color w:val="000000"/>
                <w:sz w:val="22"/>
                <w:szCs w:val="22"/>
                <w:u w:val="none"/>
              </w:rPr>
            </w:pPr>
            <w:r>
              <w:rPr>
                <w:rFonts w:hint="eastAsia" w:ascii="宋体" w:hAnsi="宋体" w:cs="宋体"/>
                <w:b w:val="0"/>
                <w:bCs/>
                <w:i w:val="0"/>
                <w:color w:val="000000"/>
                <w:kern w:val="0"/>
                <w:sz w:val="22"/>
                <w:szCs w:val="22"/>
                <w:u w:val="none"/>
                <w:lang w:val="en-US" w:eastAsia="zh-CN" w:bidi="ar-SA"/>
              </w:rPr>
              <w:t>22</w:t>
            </w:r>
          </w:p>
        </w:tc>
        <w:tc>
          <w:tcPr>
            <w:tcW w:w="3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SA"/>
              </w:rPr>
              <w:t>癌胚抗原定量(CEA)</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SA"/>
              </w:rPr>
              <w:t>系广谱性肿瘤标志物，对大肠癌、胰腺癌的筛查、疗效观察和预后评估有重要的临床意义。在胃、乳腺、肺癌等也可升高。</w:t>
            </w:r>
          </w:p>
        </w:tc>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i w:val="0"/>
                <w:color w:val="000000"/>
                <w:sz w:val="22"/>
                <w:szCs w:val="22"/>
                <w:u w:val="none"/>
              </w:rPr>
            </w:pPr>
          </w:p>
        </w:tc>
        <w:tc>
          <w:tcPr>
            <w:tcW w:w="95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SA"/>
              </w:rPr>
              <w:t>2</w:t>
            </w:r>
            <w:r>
              <w:rPr>
                <w:rFonts w:hint="eastAsia" w:ascii="宋体" w:hAnsi="宋体" w:cs="宋体"/>
                <w:b w:val="0"/>
                <w:bCs/>
                <w:i w:val="0"/>
                <w:color w:val="000000"/>
                <w:kern w:val="0"/>
                <w:sz w:val="22"/>
                <w:szCs w:val="22"/>
                <w:u w:val="none"/>
                <w:lang w:val="en-US" w:eastAsia="zh-CN" w:bidi="ar-SA"/>
              </w:rPr>
              <w:t>3</w:t>
            </w:r>
          </w:p>
        </w:tc>
        <w:tc>
          <w:tcPr>
            <w:tcW w:w="3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SA"/>
              </w:rPr>
              <w:t>甲胎蛋白定量(AFP)</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SA"/>
              </w:rPr>
              <w:t>对原发性肝癌的诊断、疗效观察和预后评估有重要的临床意义。在卵巢、胃、胰腺癌、睾丸癌等肿瘤及肝炎、肝硬化等疾病也有异常发现</w:t>
            </w:r>
          </w:p>
        </w:tc>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i w:val="0"/>
                <w:color w:val="000000"/>
                <w:sz w:val="22"/>
                <w:szCs w:val="22"/>
                <w:u w:val="none"/>
              </w:rPr>
            </w:pP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bCs/>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SA"/>
              </w:rPr>
              <w:t>2</w:t>
            </w:r>
            <w:r>
              <w:rPr>
                <w:rFonts w:hint="eastAsia" w:ascii="宋体" w:hAnsi="宋体" w:cs="宋体"/>
                <w:b w:val="0"/>
                <w:bCs/>
                <w:i w:val="0"/>
                <w:color w:val="000000"/>
                <w:kern w:val="0"/>
                <w:sz w:val="22"/>
                <w:szCs w:val="22"/>
                <w:u w:val="none"/>
                <w:lang w:val="en-US" w:eastAsia="zh-CN" w:bidi="ar-SA"/>
              </w:rPr>
              <w:t>4</w:t>
            </w:r>
          </w:p>
        </w:tc>
        <w:tc>
          <w:tcPr>
            <w:tcW w:w="3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SA"/>
              </w:rPr>
              <w:t>神经元特异性烯醇化酶（NSE）</w:t>
            </w:r>
          </w:p>
        </w:tc>
        <w:tc>
          <w:tcPr>
            <w:tcW w:w="3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SA"/>
              </w:rPr>
              <w:t>小细胞肺癌和非小细胞肺癌的鉴别诊断，病情的监测</w:t>
            </w:r>
          </w:p>
        </w:tc>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i w:val="0"/>
                <w:color w:val="000000"/>
                <w:sz w:val="22"/>
                <w:szCs w:val="22"/>
                <w:u w:val="none"/>
              </w:rPr>
            </w:pP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bCs/>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SA"/>
              </w:rPr>
              <w:t>2</w:t>
            </w:r>
            <w:r>
              <w:rPr>
                <w:rFonts w:hint="eastAsia" w:ascii="宋体" w:hAnsi="宋体" w:cs="宋体"/>
                <w:b w:val="0"/>
                <w:bCs/>
                <w:i w:val="0"/>
                <w:color w:val="000000"/>
                <w:kern w:val="0"/>
                <w:sz w:val="22"/>
                <w:szCs w:val="22"/>
                <w:u w:val="none"/>
                <w:lang w:val="en-US" w:eastAsia="zh-CN" w:bidi="ar-SA"/>
              </w:rPr>
              <w:t>5</w:t>
            </w:r>
          </w:p>
        </w:tc>
        <w:tc>
          <w:tcPr>
            <w:tcW w:w="3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SA"/>
              </w:rPr>
              <w:t>肺细胞角蛋白21-1(Cyfra 21-1)</w:t>
            </w:r>
          </w:p>
        </w:tc>
        <w:tc>
          <w:tcPr>
            <w:tcW w:w="3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SA"/>
              </w:rPr>
              <w:t>对非小细胞肺癌的诊断具有重要价值</w:t>
            </w:r>
          </w:p>
        </w:tc>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i w:val="0"/>
                <w:color w:val="000000"/>
                <w:sz w:val="22"/>
                <w:szCs w:val="22"/>
                <w:u w:val="none"/>
              </w:rPr>
            </w:pP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bCs/>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SA"/>
              </w:rPr>
              <w:t>2</w:t>
            </w:r>
            <w:r>
              <w:rPr>
                <w:rFonts w:hint="eastAsia" w:ascii="宋体" w:hAnsi="宋体" w:cs="宋体"/>
                <w:b w:val="0"/>
                <w:bCs/>
                <w:i w:val="0"/>
                <w:color w:val="000000"/>
                <w:kern w:val="0"/>
                <w:sz w:val="22"/>
                <w:szCs w:val="22"/>
                <w:u w:val="none"/>
                <w:lang w:val="en-US" w:eastAsia="zh-CN" w:bidi="ar-SA"/>
              </w:rPr>
              <w:t>6</w:t>
            </w:r>
          </w:p>
        </w:tc>
        <w:tc>
          <w:tcPr>
            <w:tcW w:w="3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SA"/>
              </w:rPr>
              <w:t>胰腺癌肿瘤筛检（CA199)</w:t>
            </w:r>
          </w:p>
        </w:tc>
        <w:tc>
          <w:tcPr>
            <w:tcW w:w="3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SA"/>
              </w:rPr>
              <w:t>胰腺癌、胆道恶性肿瘤及胃癌、结肠癌、肝癌的辅助诊断</w:t>
            </w:r>
          </w:p>
        </w:tc>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i w:val="0"/>
                <w:color w:val="000000"/>
                <w:sz w:val="22"/>
                <w:szCs w:val="22"/>
                <w:u w:val="none"/>
              </w:rPr>
            </w:pP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bCs/>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SA"/>
              </w:rPr>
              <w:t>2</w:t>
            </w:r>
            <w:r>
              <w:rPr>
                <w:rFonts w:hint="eastAsia" w:ascii="宋体" w:hAnsi="宋体" w:cs="宋体"/>
                <w:b w:val="0"/>
                <w:bCs/>
                <w:i w:val="0"/>
                <w:color w:val="000000"/>
                <w:kern w:val="0"/>
                <w:sz w:val="22"/>
                <w:szCs w:val="22"/>
                <w:u w:val="none"/>
                <w:lang w:val="en-US" w:eastAsia="zh-CN" w:bidi="ar-SA"/>
              </w:rPr>
              <w:t>7</w:t>
            </w:r>
          </w:p>
        </w:tc>
        <w:tc>
          <w:tcPr>
            <w:tcW w:w="3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SA"/>
              </w:rPr>
              <w:t>多种肿瘤筛检（CA153)</w:t>
            </w:r>
          </w:p>
        </w:tc>
        <w:tc>
          <w:tcPr>
            <w:tcW w:w="3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SA"/>
              </w:rPr>
              <w:t>诊断乳腺癌和转移乳腺癌，辅助诊断卵巢癌、肺癌</w:t>
            </w:r>
          </w:p>
        </w:tc>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i w:val="0"/>
                <w:color w:val="000000"/>
                <w:sz w:val="22"/>
                <w:szCs w:val="22"/>
                <w:u w:val="none"/>
              </w:rPr>
            </w:pP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bCs/>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b w:val="0"/>
                <w:bCs/>
                <w:i w:val="0"/>
                <w:color w:val="000000"/>
                <w:sz w:val="22"/>
                <w:szCs w:val="22"/>
                <w:u w:val="none"/>
              </w:rPr>
            </w:pPr>
            <w:r>
              <w:rPr>
                <w:rFonts w:hint="eastAsia" w:ascii="宋体" w:hAnsi="宋体" w:cs="宋体"/>
                <w:b w:val="0"/>
                <w:bCs/>
                <w:i w:val="0"/>
                <w:color w:val="000000"/>
                <w:kern w:val="0"/>
                <w:sz w:val="22"/>
                <w:szCs w:val="22"/>
                <w:u w:val="none"/>
                <w:lang w:val="en-US" w:eastAsia="zh-CN" w:bidi="ar-SA"/>
              </w:rPr>
              <w:t>28</w:t>
            </w:r>
          </w:p>
        </w:tc>
        <w:tc>
          <w:tcPr>
            <w:tcW w:w="3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SA"/>
              </w:rPr>
              <w:t>癌抗原125(CA125)</w:t>
            </w:r>
          </w:p>
        </w:tc>
        <w:tc>
          <w:tcPr>
            <w:tcW w:w="3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SA"/>
              </w:rPr>
              <w:t>卵巢、子宫内膜、肝、肺、结直肠、胃癌的诊断和治疗监测</w:t>
            </w:r>
          </w:p>
        </w:tc>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i w:val="0"/>
                <w:color w:val="000000"/>
                <w:sz w:val="22"/>
                <w:szCs w:val="22"/>
                <w:u w:val="none"/>
              </w:rPr>
            </w:pP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bCs/>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b w:val="0"/>
                <w:bCs/>
                <w:i w:val="0"/>
                <w:color w:val="000000"/>
                <w:sz w:val="22"/>
                <w:szCs w:val="22"/>
                <w:u w:val="none"/>
              </w:rPr>
            </w:pPr>
            <w:r>
              <w:rPr>
                <w:rFonts w:hint="eastAsia" w:ascii="宋体" w:hAnsi="宋体" w:cs="宋体"/>
                <w:b w:val="0"/>
                <w:bCs/>
                <w:i w:val="0"/>
                <w:color w:val="000000"/>
                <w:kern w:val="0"/>
                <w:sz w:val="22"/>
                <w:szCs w:val="22"/>
                <w:u w:val="none"/>
                <w:lang w:val="en-US" w:eastAsia="zh-CN" w:bidi="ar-SA"/>
              </w:rPr>
              <w:t>29</w:t>
            </w:r>
          </w:p>
        </w:tc>
        <w:tc>
          <w:tcPr>
            <w:tcW w:w="3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SA"/>
              </w:rPr>
              <w:t>游离绒毛膜促性腺激素β-HCG</w:t>
            </w:r>
          </w:p>
        </w:tc>
        <w:tc>
          <w:tcPr>
            <w:tcW w:w="3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SA"/>
              </w:rPr>
              <w:t>特异β人绒毛膜促性腺激素：对滋养细胞肿瘤等疾病的诊断、鉴别和病程观察等有一定价值</w:t>
            </w:r>
          </w:p>
        </w:tc>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i w:val="0"/>
                <w:color w:val="000000"/>
                <w:sz w:val="22"/>
                <w:szCs w:val="22"/>
                <w:u w:val="none"/>
              </w:rPr>
            </w:pP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bCs/>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b w:val="0"/>
                <w:bCs/>
                <w:i w:val="0"/>
                <w:color w:val="000000"/>
                <w:sz w:val="22"/>
                <w:szCs w:val="22"/>
                <w:u w:val="none"/>
              </w:rPr>
            </w:pPr>
            <w:r>
              <w:rPr>
                <w:rFonts w:hint="eastAsia" w:ascii="宋体" w:hAnsi="宋体" w:cs="宋体"/>
                <w:b w:val="0"/>
                <w:bCs/>
                <w:i w:val="0"/>
                <w:color w:val="000000"/>
                <w:kern w:val="0"/>
                <w:sz w:val="22"/>
                <w:szCs w:val="22"/>
                <w:u w:val="none"/>
                <w:lang w:val="en-US" w:eastAsia="zh-CN" w:bidi="ar-SA"/>
              </w:rPr>
              <w:t>30</w:t>
            </w:r>
          </w:p>
        </w:tc>
        <w:tc>
          <w:tcPr>
            <w:tcW w:w="3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SA"/>
              </w:rPr>
              <w:t>癌肿抗原724（CA724）</w:t>
            </w:r>
          </w:p>
        </w:tc>
        <w:tc>
          <w:tcPr>
            <w:tcW w:w="3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SA"/>
              </w:rPr>
              <w:t>用于胃肠道肿瘤的筛查；对胃癌尤其是较为早期或恶性度较高的胃癌诊断阳性率要高于其他血清学指标</w:t>
            </w:r>
          </w:p>
        </w:tc>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i w:val="0"/>
                <w:color w:val="000000"/>
                <w:sz w:val="22"/>
                <w:szCs w:val="22"/>
                <w:u w:val="none"/>
              </w:rPr>
            </w:pP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bCs/>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SA"/>
              </w:rPr>
              <w:t>3</w:t>
            </w:r>
            <w:r>
              <w:rPr>
                <w:rFonts w:hint="eastAsia" w:ascii="宋体" w:hAnsi="宋体" w:cs="宋体"/>
                <w:b w:val="0"/>
                <w:bCs/>
                <w:i w:val="0"/>
                <w:color w:val="000000"/>
                <w:kern w:val="0"/>
                <w:sz w:val="22"/>
                <w:szCs w:val="22"/>
                <w:u w:val="none"/>
                <w:lang w:val="en-US" w:eastAsia="zh-CN" w:bidi="ar-SA"/>
              </w:rPr>
              <w:t>1</w:t>
            </w:r>
          </w:p>
        </w:tc>
        <w:tc>
          <w:tcPr>
            <w:tcW w:w="3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SA"/>
              </w:rPr>
              <w:t>癌肿抗原（CA242）</w:t>
            </w:r>
          </w:p>
        </w:tc>
        <w:tc>
          <w:tcPr>
            <w:tcW w:w="3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SA"/>
              </w:rPr>
              <w:t>大肠癌和胰腺癌等肿瘤标志物</w:t>
            </w:r>
          </w:p>
        </w:tc>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i w:val="0"/>
                <w:color w:val="000000"/>
                <w:sz w:val="22"/>
                <w:szCs w:val="22"/>
                <w:u w:val="none"/>
              </w:rPr>
            </w:pP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bCs/>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SA"/>
              </w:rPr>
              <w:t>3</w:t>
            </w:r>
            <w:r>
              <w:rPr>
                <w:rFonts w:hint="eastAsia" w:ascii="宋体" w:hAnsi="宋体" w:cs="宋体"/>
                <w:b w:val="0"/>
                <w:bCs/>
                <w:i w:val="0"/>
                <w:color w:val="000000"/>
                <w:kern w:val="0"/>
                <w:sz w:val="22"/>
                <w:szCs w:val="22"/>
                <w:u w:val="none"/>
                <w:lang w:val="en-US" w:eastAsia="zh-CN" w:bidi="ar-SA"/>
              </w:rPr>
              <w:t>2</w:t>
            </w:r>
          </w:p>
        </w:tc>
        <w:tc>
          <w:tcPr>
            <w:tcW w:w="3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SA"/>
              </w:rPr>
              <w:t>鳞状上皮细胞癌抗原(SCC)（女）</w:t>
            </w:r>
          </w:p>
        </w:tc>
        <w:tc>
          <w:tcPr>
            <w:tcW w:w="3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SA"/>
              </w:rPr>
              <w:t>作为子宫颈、肺部、头颈部、外阴和食道等部位的鳞状细胞癌的血清标志物，是目前诊断宫颈癌最有价值的肿瘤标志物</w:t>
            </w:r>
          </w:p>
        </w:tc>
        <w:tc>
          <w:tcPr>
            <w:tcW w:w="9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SA"/>
              </w:rPr>
              <w:t>\</w:t>
            </w: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bCs/>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SA"/>
              </w:rPr>
              <w:t>3</w:t>
            </w:r>
            <w:r>
              <w:rPr>
                <w:rFonts w:hint="eastAsia" w:ascii="宋体" w:hAnsi="宋体" w:cs="宋体"/>
                <w:b w:val="0"/>
                <w:bCs/>
                <w:i w:val="0"/>
                <w:color w:val="000000"/>
                <w:kern w:val="0"/>
                <w:sz w:val="22"/>
                <w:szCs w:val="22"/>
                <w:u w:val="none"/>
                <w:lang w:val="en-US" w:eastAsia="zh-CN" w:bidi="ar-SA"/>
              </w:rPr>
              <w:t>3</w:t>
            </w:r>
          </w:p>
        </w:tc>
        <w:tc>
          <w:tcPr>
            <w:tcW w:w="3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SA"/>
              </w:rPr>
              <w:t>EB病毒NA1-lgA抗体</w:t>
            </w:r>
          </w:p>
        </w:tc>
        <w:tc>
          <w:tcPr>
            <w:tcW w:w="3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SA"/>
              </w:rPr>
              <w:t>鼻咽癌的发生与EB病毒感染有密切关系，(EBV-IgA)的检测是临床用来检测EB病毒感染的，测验值可证明有无病毒感染，但不足以说明有鼻咽癌。</w:t>
            </w:r>
          </w:p>
        </w:tc>
        <w:tc>
          <w:tcPr>
            <w:tcW w:w="9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SA"/>
              </w:rPr>
              <w:t>√</w:t>
            </w:r>
          </w:p>
        </w:tc>
        <w:tc>
          <w:tcPr>
            <w:tcW w:w="9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SA"/>
              </w:rPr>
              <w:t>3</w:t>
            </w:r>
            <w:r>
              <w:rPr>
                <w:rFonts w:hint="eastAsia" w:ascii="宋体" w:hAnsi="宋体" w:cs="宋体"/>
                <w:b w:val="0"/>
                <w:bCs/>
                <w:i w:val="0"/>
                <w:color w:val="000000"/>
                <w:kern w:val="0"/>
                <w:sz w:val="22"/>
                <w:szCs w:val="22"/>
                <w:u w:val="none"/>
                <w:lang w:val="en-US" w:eastAsia="zh-CN" w:bidi="ar-SA"/>
              </w:rPr>
              <w:t>4</w:t>
            </w:r>
          </w:p>
        </w:tc>
        <w:tc>
          <w:tcPr>
            <w:tcW w:w="3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SA"/>
              </w:rPr>
              <w:t>碳-13呼气试验（幽门螺旋杆菌）</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SA"/>
              </w:rPr>
              <w:t>幽门螺旋杆菌可以产生尿素酶，尿素酶可分解尿素，尿素[13C]试剂作为13C-呼气试验的底物，可以被幽门螺旋杆菌分解，释放13C。通过检测13CO2浓度，判断是否有hp感染。</w:t>
            </w:r>
          </w:p>
        </w:tc>
        <w:tc>
          <w:tcPr>
            <w:tcW w:w="9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SA"/>
              </w:rPr>
              <w:t>√</w:t>
            </w:r>
          </w:p>
        </w:tc>
        <w:tc>
          <w:tcPr>
            <w:tcW w:w="9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b w:val="0"/>
                <w:bCs/>
                <w:i w:val="0"/>
                <w:color w:val="000000"/>
                <w:sz w:val="22"/>
                <w:szCs w:val="22"/>
                <w:u w:val="none"/>
              </w:rPr>
            </w:pPr>
            <w:r>
              <w:rPr>
                <w:rFonts w:hint="eastAsia" w:ascii="宋体" w:hAnsi="宋体" w:cs="宋体"/>
                <w:b w:val="0"/>
                <w:bCs/>
                <w:i w:val="0"/>
                <w:color w:val="000000"/>
                <w:kern w:val="0"/>
                <w:sz w:val="22"/>
                <w:szCs w:val="22"/>
                <w:u w:val="none"/>
                <w:lang w:val="en-US" w:eastAsia="zh-CN" w:bidi="ar-SA"/>
              </w:rPr>
              <w:t>35</w:t>
            </w:r>
          </w:p>
        </w:tc>
        <w:tc>
          <w:tcPr>
            <w:tcW w:w="3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SA"/>
              </w:rPr>
              <w:t>甲状腺彩超</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SA"/>
              </w:rPr>
              <w:t>通过彩色超声仪器更清晰地观察甲状腺肿物、结节、肿大、炎症；可发现甲状腺肿、甲状腺囊肿、甲状腺炎、甲状腺瘤、甲状腺癌等疾病</w:t>
            </w:r>
          </w:p>
        </w:tc>
        <w:tc>
          <w:tcPr>
            <w:tcW w:w="9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SA"/>
              </w:rPr>
              <w:t>√</w:t>
            </w:r>
          </w:p>
        </w:tc>
        <w:tc>
          <w:tcPr>
            <w:tcW w:w="9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b w:val="0"/>
                <w:bCs/>
                <w:i w:val="0"/>
                <w:color w:val="000000"/>
                <w:sz w:val="22"/>
                <w:szCs w:val="22"/>
                <w:u w:val="none"/>
              </w:rPr>
            </w:pPr>
            <w:r>
              <w:rPr>
                <w:rFonts w:hint="eastAsia" w:ascii="宋体" w:hAnsi="宋体" w:cs="宋体"/>
                <w:b w:val="0"/>
                <w:bCs/>
                <w:i w:val="0"/>
                <w:color w:val="000000"/>
                <w:kern w:val="0"/>
                <w:sz w:val="22"/>
                <w:szCs w:val="22"/>
                <w:u w:val="none"/>
                <w:lang w:val="en-US" w:eastAsia="zh-CN" w:bidi="ar-SA"/>
              </w:rPr>
              <w:t>36</w:t>
            </w:r>
          </w:p>
        </w:tc>
        <w:tc>
          <w:tcPr>
            <w:tcW w:w="3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SA"/>
              </w:rPr>
              <w:t>颈动脉彩超</w:t>
            </w:r>
          </w:p>
        </w:tc>
        <w:tc>
          <w:tcPr>
            <w:tcW w:w="3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SA"/>
              </w:rPr>
              <w:t>可以较准确地检测颈部血管的病变，确定狭窄程度，对于诊断颈动脉粥样硬化，颈动脉狭窄及闭塞等症具有较大的临床意义。</w:t>
            </w:r>
          </w:p>
        </w:tc>
        <w:tc>
          <w:tcPr>
            <w:tcW w:w="9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SA"/>
              </w:rPr>
              <w:t>√</w:t>
            </w:r>
          </w:p>
        </w:tc>
        <w:tc>
          <w:tcPr>
            <w:tcW w:w="9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b w:val="0"/>
                <w:bCs/>
                <w:i w:val="0"/>
                <w:color w:val="000000"/>
                <w:sz w:val="22"/>
                <w:szCs w:val="22"/>
                <w:u w:val="none"/>
              </w:rPr>
            </w:pPr>
            <w:r>
              <w:rPr>
                <w:rFonts w:hint="eastAsia" w:ascii="宋体" w:hAnsi="宋体" w:cs="宋体"/>
                <w:b w:val="0"/>
                <w:bCs/>
                <w:i w:val="0"/>
                <w:color w:val="000000"/>
                <w:kern w:val="0"/>
                <w:sz w:val="22"/>
                <w:szCs w:val="22"/>
                <w:u w:val="none"/>
                <w:lang w:val="en-US" w:eastAsia="zh-CN" w:bidi="ar-SA"/>
              </w:rPr>
              <w:t>37</w:t>
            </w:r>
          </w:p>
        </w:tc>
        <w:tc>
          <w:tcPr>
            <w:tcW w:w="3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SA"/>
              </w:rPr>
              <w:t>动脉硬化检查</w:t>
            </w:r>
          </w:p>
        </w:tc>
        <w:tc>
          <w:tcPr>
            <w:tcW w:w="3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both"/>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SA"/>
              </w:rPr>
              <w:t>心、脑血管疾病前期筛查</w:t>
            </w:r>
          </w:p>
        </w:tc>
        <w:tc>
          <w:tcPr>
            <w:tcW w:w="9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SA"/>
              </w:rPr>
              <w:t>√</w:t>
            </w:r>
          </w:p>
        </w:tc>
        <w:tc>
          <w:tcPr>
            <w:tcW w:w="9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b w:val="0"/>
                <w:bCs/>
                <w:i w:val="0"/>
                <w:color w:val="000000"/>
                <w:sz w:val="22"/>
                <w:szCs w:val="22"/>
                <w:u w:val="none"/>
              </w:rPr>
            </w:pPr>
            <w:r>
              <w:rPr>
                <w:rFonts w:hint="eastAsia" w:ascii="宋体" w:hAnsi="宋体" w:cs="宋体"/>
                <w:b w:val="0"/>
                <w:bCs/>
                <w:i w:val="0"/>
                <w:color w:val="000000"/>
                <w:kern w:val="0"/>
                <w:sz w:val="22"/>
                <w:szCs w:val="22"/>
                <w:u w:val="none"/>
                <w:lang w:val="en-US" w:eastAsia="zh-CN" w:bidi="ar-SA"/>
              </w:rPr>
              <w:t>38</w:t>
            </w:r>
          </w:p>
        </w:tc>
        <w:tc>
          <w:tcPr>
            <w:tcW w:w="3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SA"/>
              </w:rPr>
              <w:t>双侧乳腺彩超</w:t>
            </w:r>
          </w:p>
        </w:tc>
        <w:tc>
          <w:tcPr>
            <w:tcW w:w="3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SA"/>
              </w:rPr>
              <w:t>检查乳腺癌、乳腺增生（生理或病理性）</w:t>
            </w:r>
          </w:p>
        </w:tc>
        <w:tc>
          <w:tcPr>
            <w:tcW w:w="9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SA"/>
              </w:rPr>
              <w:t>\</w:t>
            </w:r>
          </w:p>
        </w:tc>
        <w:tc>
          <w:tcPr>
            <w:tcW w:w="9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b w:val="0"/>
                <w:bCs/>
                <w:i w:val="0"/>
                <w:color w:val="000000"/>
                <w:sz w:val="22"/>
                <w:szCs w:val="22"/>
                <w:u w:val="none"/>
              </w:rPr>
            </w:pPr>
            <w:r>
              <w:rPr>
                <w:rFonts w:hint="eastAsia" w:ascii="宋体" w:hAnsi="宋体" w:cs="宋体"/>
                <w:b w:val="0"/>
                <w:bCs/>
                <w:i w:val="0"/>
                <w:color w:val="000000"/>
                <w:kern w:val="0"/>
                <w:sz w:val="22"/>
                <w:szCs w:val="22"/>
                <w:u w:val="none"/>
                <w:lang w:val="en-US" w:eastAsia="zh-CN" w:bidi="ar-SA"/>
              </w:rPr>
              <w:t>39</w:t>
            </w:r>
          </w:p>
        </w:tc>
        <w:tc>
          <w:tcPr>
            <w:tcW w:w="3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SA"/>
              </w:rPr>
              <w:t>妇科检查</w:t>
            </w:r>
          </w:p>
        </w:tc>
        <w:tc>
          <w:tcPr>
            <w:tcW w:w="3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SA"/>
              </w:rPr>
              <w:t>首先查看外阴有无皮肤病、水肿、白斑等；阴道有无出血、溃疡，有无宫颈炎症,宫颈糜烂等。触摸检查子宫大小、形态、位置以及活动度是否正常检查双侧附件有无肿块及压痛等</w:t>
            </w:r>
          </w:p>
        </w:tc>
        <w:tc>
          <w:tcPr>
            <w:tcW w:w="9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SA"/>
              </w:rPr>
              <w:t>\</w:t>
            </w:r>
          </w:p>
        </w:tc>
        <w:tc>
          <w:tcPr>
            <w:tcW w:w="9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SA"/>
              </w:rPr>
              <w:t>4</w:t>
            </w:r>
            <w:r>
              <w:rPr>
                <w:rFonts w:hint="eastAsia" w:ascii="宋体" w:hAnsi="宋体" w:cs="宋体"/>
                <w:b w:val="0"/>
                <w:bCs/>
                <w:i w:val="0"/>
                <w:color w:val="000000"/>
                <w:kern w:val="0"/>
                <w:sz w:val="22"/>
                <w:szCs w:val="22"/>
                <w:u w:val="none"/>
                <w:lang w:val="en-US" w:eastAsia="zh-CN" w:bidi="ar-SA"/>
              </w:rPr>
              <w:t>0</w:t>
            </w:r>
          </w:p>
        </w:tc>
        <w:tc>
          <w:tcPr>
            <w:tcW w:w="3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SA"/>
              </w:rPr>
              <w:t>白带常规</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SA"/>
              </w:rPr>
              <w:t>用于检查阴道内有无滴虫、念珠菌，同时还可确定阴道清洁度，是筛查阴道炎的有效手段</w:t>
            </w:r>
          </w:p>
        </w:tc>
        <w:tc>
          <w:tcPr>
            <w:tcW w:w="9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SA"/>
              </w:rPr>
              <w:t>\</w:t>
            </w:r>
          </w:p>
        </w:tc>
        <w:tc>
          <w:tcPr>
            <w:tcW w:w="9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SA"/>
              </w:rPr>
              <w:t>4</w:t>
            </w:r>
            <w:r>
              <w:rPr>
                <w:rFonts w:hint="eastAsia" w:ascii="宋体" w:hAnsi="宋体" w:cs="宋体"/>
                <w:b w:val="0"/>
                <w:bCs/>
                <w:i w:val="0"/>
                <w:color w:val="000000"/>
                <w:kern w:val="0"/>
                <w:sz w:val="22"/>
                <w:szCs w:val="22"/>
                <w:u w:val="none"/>
                <w:lang w:val="en-US" w:eastAsia="zh-CN" w:bidi="ar-SA"/>
              </w:rPr>
              <w:t>1</w:t>
            </w:r>
          </w:p>
        </w:tc>
        <w:tc>
          <w:tcPr>
            <w:tcW w:w="3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SA"/>
              </w:rPr>
              <w:t>子宫颈癌液基细胞学筛查 (TCT)</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SA"/>
              </w:rPr>
              <w:t>是目前国内外替代传统宫颈涂片检测宫颈癌最准确的检测技术，大大减少了由于血液、粘液、炎症而造成的模糊子宫颈细胞样本的数量，从而大大提高了妇女宫颈癌早期病变的检出率。</w:t>
            </w:r>
          </w:p>
        </w:tc>
        <w:tc>
          <w:tcPr>
            <w:tcW w:w="9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SA"/>
              </w:rPr>
              <w:t>\</w:t>
            </w:r>
          </w:p>
        </w:tc>
        <w:tc>
          <w:tcPr>
            <w:tcW w:w="9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SA"/>
              </w:rPr>
              <w:t>4</w:t>
            </w:r>
            <w:r>
              <w:rPr>
                <w:rFonts w:hint="eastAsia" w:ascii="宋体" w:hAnsi="宋体" w:cs="宋体"/>
                <w:b w:val="0"/>
                <w:bCs/>
                <w:i w:val="0"/>
                <w:color w:val="000000"/>
                <w:kern w:val="0"/>
                <w:sz w:val="22"/>
                <w:szCs w:val="22"/>
                <w:u w:val="none"/>
                <w:lang w:val="en-US" w:eastAsia="zh-CN" w:bidi="ar-SA"/>
              </w:rPr>
              <w:t>2</w:t>
            </w:r>
          </w:p>
        </w:tc>
        <w:tc>
          <w:tcPr>
            <w:tcW w:w="3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SA"/>
              </w:rPr>
              <w:t>医生评估及体检总结</w:t>
            </w:r>
          </w:p>
        </w:tc>
        <w:tc>
          <w:tcPr>
            <w:tcW w:w="3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b w:val="0"/>
                <w:bCs/>
                <w:i w:val="0"/>
                <w:color w:val="000000"/>
                <w:sz w:val="22"/>
                <w:szCs w:val="22"/>
                <w:u w:val="none"/>
              </w:rPr>
            </w:pPr>
          </w:p>
        </w:tc>
        <w:tc>
          <w:tcPr>
            <w:tcW w:w="9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SA"/>
              </w:rPr>
              <w:t>√</w:t>
            </w:r>
          </w:p>
        </w:tc>
        <w:tc>
          <w:tcPr>
            <w:tcW w:w="9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b w:val="0"/>
                <w:bCs/>
                <w:i w:val="0"/>
                <w:color w:val="000000"/>
                <w:sz w:val="22"/>
                <w:szCs w:val="22"/>
                <w:u w:val="none"/>
              </w:rPr>
            </w:pPr>
            <w:r>
              <w:rPr>
                <w:rFonts w:hint="eastAsia" w:ascii="宋体" w:hAnsi="宋体" w:cs="宋体"/>
                <w:b w:val="0"/>
                <w:bCs/>
                <w:i w:val="0"/>
                <w:color w:val="000000"/>
                <w:kern w:val="0"/>
                <w:sz w:val="22"/>
                <w:szCs w:val="22"/>
                <w:u w:val="none"/>
                <w:lang w:val="en-US" w:eastAsia="zh-CN" w:bidi="ar-SA"/>
              </w:rPr>
              <w:t>43</w:t>
            </w:r>
          </w:p>
        </w:tc>
        <w:tc>
          <w:tcPr>
            <w:tcW w:w="3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SA"/>
              </w:rPr>
              <w:t>一次性抽血材料费</w:t>
            </w:r>
          </w:p>
        </w:tc>
        <w:tc>
          <w:tcPr>
            <w:tcW w:w="3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b w:val="0"/>
                <w:bCs/>
                <w:i w:val="0"/>
                <w:color w:val="000000"/>
                <w:sz w:val="22"/>
                <w:szCs w:val="22"/>
                <w:u w:val="none"/>
              </w:rPr>
            </w:pPr>
          </w:p>
        </w:tc>
        <w:tc>
          <w:tcPr>
            <w:tcW w:w="9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SA"/>
              </w:rPr>
              <w:t>√</w:t>
            </w:r>
          </w:p>
        </w:tc>
        <w:tc>
          <w:tcPr>
            <w:tcW w:w="9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b w:val="0"/>
                <w:bCs/>
                <w:i w:val="0"/>
                <w:color w:val="000000"/>
                <w:sz w:val="22"/>
                <w:szCs w:val="22"/>
                <w:u w:val="none"/>
              </w:rPr>
            </w:pPr>
            <w:r>
              <w:rPr>
                <w:rFonts w:hint="eastAsia" w:ascii="宋体" w:hAnsi="宋体" w:cs="宋体"/>
                <w:b w:val="0"/>
                <w:bCs/>
                <w:i w:val="0"/>
                <w:color w:val="000000"/>
                <w:kern w:val="0"/>
                <w:sz w:val="22"/>
                <w:szCs w:val="22"/>
                <w:u w:val="none"/>
                <w:lang w:val="en-US" w:eastAsia="zh-CN" w:bidi="ar-SA"/>
              </w:rPr>
              <w:t>44</w:t>
            </w:r>
          </w:p>
        </w:tc>
        <w:tc>
          <w:tcPr>
            <w:tcW w:w="3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SA"/>
              </w:rPr>
              <w:t>个检报告</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val="0"/>
                <w:bCs/>
                <w:i w:val="0"/>
                <w:color w:val="000000"/>
                <w:sz w:val="22"/>
                <w:szCs w:val="22"/>
                <w:u w:val="none"/>
              </w:rPr>
            </w:pPr>
          </w:p>
        </w:tc>
        <w:tc>
          <w:tcPr>
            <w:tcW w:w="9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SA"/>
              </w:rPr>
              <w:t>√</w:t>
            </w:r>
          </w:p>
        </w:tc>
        <w:tc>
          <w:tcPr>
            <w:tcW w:w="9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SA"/>
              </w:rPr>
              <w:t>√</w:t>
            </w:r>
          </w:p>
        </w:tc>
      </w:tr>
    </w:tbl>
    <w:p>
      <w:pPr>
        <w:spacing w:line="360" w:lineRule="auto"/>
        <w:ind w:left="309" w:hanging="323" w:hangingChars="147"/>
        <w:rPr>
          <w:rFonts w:hint="eastAsia" w:ascii="宋体" w:hAnsi="宋体"/>
          <w:color w:val="auto"/>
          <w:sz w:val="22"/>
          <w:szCs w:val="22"/>
        </w:rPr>
      </w:pPr>
    </w:p>
    <w:p>
      <w:pPr>
        <w:spacing w:line="360" w:lineRule="auto"/>
        <w:ind w:left="309" w:hanging="323" w:hangingChars="147"/>
        <w:rPr>
          <w:rFonts w:hint="eastAsia" w:ascii="宋体" w:hAnsi="宋体"/>
          <w:color w:val="auto"/>
          <w:sz w:val="22"/>
          <w:szCs w:val="22"/>
        </w:rPr>
      </w:pPr>
    </w:p>
    <w:p>
      <w:pPr>
        <w:rPr>
          <w:sz w:val="22"/>
          <w:szCs w:val="22"/>
        </w:rPr>
      </w:pPr>
    </w:p>
    <w:sectPr>
      <w:pgSz w:w="11906" w:h="16838"/>
      <w:pgMar w:top="1440" w:right="1800" w:bottom="1440" w:left="13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35764F6"/>
    <w:rsid w:val="035764F6"/>
    <w:rsid w:val="03A938FC"/>
    <w:rsid w:val="066A058B"/>
    <w:rsid w:val="077075E8"/>
    <w:rsid w:val="083811B2"/>
    <w:rsid w:val="08C226C3"/>
    <w:rsid w:val="08F373BE"/>
    <w:rsid w:val="0AB41DC7"/>
    <w:rsid w:val="0FBB761B"/>
    <w:rsid w:val="148E4E49"/>
    <w:rsid w:val="17B8007C"/>
    <w:rsid w:val="20300935"/>
    <w:rsid w:val="28C81DF6"/>
    <w:rsid w:val="2991323C"/>
    <w:rsid w:val="2E8325DC"/>
    <w:rsid w:val="2F4C7AA6"/>
    <w:rsid w:val="314B2DEF"/>
    <w:rsid w:val="331778AE"/>
    <w:rsid w:val="33456952"/>
    <w:rsid w:val="39BC1C35"/>
    <w:rsid w:val="3D9056D7"/>
    <w:rsid w:val="42300F1C"/>
    <w:rsid w:val="4389705D"/>
    <w:rsid w:val="441D6763"/>
    <w:rsid w:val="454279DB"/>
    <w:rsid w:val="4DD02655"/>
    <w:rsid w:val="56B92D7D"/>
    <w:rsid w:val="58A85581"/>
    <w:rsid w:val="598007B1"/>
    <w:rsid w:val="5F237308"/>
    <w:rsid w:val="60CB2888"/>
    <w:rsid w:val="640131AA"/>
    <w:rsid w:val="66D9101D"/>
    <w:rsid w:val="69705E97"/>
    <w:rsid w:val="6A7053AA"/>
    <w:rsid w:val="6C2B2472"/>
    <w:rsid w:val="6DB52E1B"/>
    <w:rsid w:val="6DC241A5"/>
    <w:rsid w:val="727A7005"/>
    <w:rsid w:val="76B13177"/>
    <w:rsid w:val="779F53D0"/>
    <w:rsid w:val="77F55C8D"/>
    <w:rsid w:val="7A992D1A"/>
    <w:rsid w:val="7BA100CC"/>
    <w:rsid w:val="7D5F0D0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table" w:styleId="3">
    <w:name w:val="Table Grid"/>
    <w:basedOn w:val="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5">
    <w:name w:val="font31"/>
    <w:basedOn w:val="4"/>
    <w:qFormat/>
    <w:uiPriority w:val="0"/>
    <w:rPr>
      <w:rFonts w:hint="eastAsia" w:ascii="宋体" w:hAnsi="宋体" w:eastAsia="宋体" w:cs="宋体"/>
      <w:color w:val="000000"/>
      <w:sz w:val="20"/>
      <w:szCs w:val="20"/>
      <w:u w:val="none"/>
    </w:rPr>
  </w:style>
  <w:style w:type="character" w:customStyle="1" w:styleId="6">
    <w:name w:val="font21"/>
    <w:basedOn w:val="4"/>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2020-06-04T05:33:00Z</dcterms:created>
  <dc:creator>Administrator</dc:creator>
  <cp:lastModifiedBy>sng1-bgs-yhf</cp:lastModifiedBy>
  <cp:lastPrinted>2022-04-18T06:24:00Z</cp:lastPrinted>
  <dcterms:modified xsi:type="dcterms:W3CDTF">2022-04-20T03:52:16Z</dcterms:modified>
  <dc:title>附件1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