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5656"/>
      <w:bookmarkStart w:id="1" w:name="_Toc5578719"/>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32"/>
          <w:szCs w:val="32"/>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一、采购项目名称：广州市少年宫篮球场及围网修缮工程项目（项目编号：GZSSNG-WSXJ-BGS-2022-005）。</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default" w:ascii="Times New Roman" w:hAnsi="Times New Roman" w:eastAsia="仿宋_GB2312" w:cs="Times New Roman"/>
          <w:color w:val="auto"/>
          <w:kern w:val="0"/>
          <w:sz w:val="32"/>
          <w:szCs w:val="32"/>
          <w:lang w:val="en-US" w:eastAsia="zh-CN" w:bidi="ar-SA"/>
        </w:rPr>
        <w:t>江老师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020-81361361</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详见《工程量清单》，填报的单价将作为施工单价费用，施工完成后需进行结算审核，以结算审核价支付。</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报价时间：    年  月  日</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p>
    <w:p>
      <w:pPr>
        <w:pStyle w:val="3"/>
        <w:spacing w:line="360" w:lineRule="auto"/>
        <w:ind w:firstLine="0" w:firstLineChars="0"/>
        <w:jc w:val="center"/>
        <w:rPr>
          <w:rFonts w:hint="default"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广州市少年宫篮球场及围网修缮工程项目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广州市少年宫篮球场及围网修缮工程项目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广州市少年宫篮球场及围网修缮工程项目</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w:t>
      </w:r>
      <w:bookmarkStart w:id="2" w:name="_GoBack"/>
      <w:bookmarkEnd w:id="2"/>
      <w:r>
        <w:rPr>
          <w:rFonts w:hint="default" w:ascii="Times New Roman" w:hAnsi="Times New Roman" w:eastAsia="仿宋_GB2312" w:cs="Times New Roman"/>
          <w:color w:val="000000"/>
          <w:sz w:val="32"/>
          <w:szCs w:val="32"/>
        </w:rPr>
        <w:t>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广州市少年宫篮球场及围网修缮工程项目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广州市少年宫篮球场及围网修缮工程项目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GZSSNG-WSXJ-BGS-2022-005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jc w:val="both"/>
        <w:rPr>
          <w:rFonts w:hint="default" w:ascii="Times New Roman" w:hAnsi="Times New Roman" w:eastAsia="宋体" w:cs="Times New Roman"/>
          <w:color w:val="auto"/>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green"/>
          <w:lang w:eastAsia="zh-CN"/>
        </w:rPr>
      </w:pPr>
      <w:r>
        <w:rPr>
          <w:rFonts w:hint="default" w:ascii="Times New Roman" w:hAnsi="Times New Roman" w:eastAsia="方正小标宋简体" w:cs="Times New Roman"/>
          <w:color w:val="auto"/>
          <w:sz w:val="44"/>
          <w:szCs w:val="44"/>
          <w:highlight w:val="none"/>
          <w:lang w:eastAsia="zh-CN"/>
        </w:rPr>
        <w:t>投标方基本情况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二、近五年承接同类型业务情况</w:t>
      </w:r>
      <w:r>
        <w:rPr>
          <w:rFonts w:hint="default" w:ascii="Times New Roman" w:hAnsi="Times New Roman" w:eastAsia="仿宋_GB2312" w:cs="Times New Roman"/>
          <w:color w:val="auto"/>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三、获得的行业资质和奖项情况</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四、企业信誉</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olor w:val="auto"/>
          <w:kern w:val="2"/>
          <w:sz w:val="32"/>
          <w:szCs w:val="32"/>
          <w:u w:val="none"/>
          <w:lang w:val="en-US" w:eastAsia="zh-CN" w:bidi="ar"/>
        </w:rPr>
      </w:pPr>
      <w:r>
        <w:rPr>
          <w:rFonts w:hint="default" w:ascii="Times New Roman" w:hAnsi="Times New Roman" w:eastAsia="仿宋_GB2312" w:cs="Times New Roman"/>
          <w:i w:val="0"/>
          <w:color w:val="auto"/>
          <w:kern w:val="2"/>
          <w:sz w:val="32"/>
          <w:szCs w:val="32"/>
          <w:u w:val="none"/>
          <w:lang w:val="en-US" w:eastAsia="zh-CN" w:bidi="ar"/>
        </w:rPr>
        <w:t>投标企业近3年获得税务部门颁发的企业纳税信用、“守合同重信用”企业公示证书等。</w:t>
      </w:r>
    </w:p>
    <w:p>
      <w:pPr>
        <w:keepNext w:val="0"/>
        <w:keepLines w:val="0"/>
        <w:pageBreakBefore w:val="0"/>
        <w:widowControl w:val="0"/>
        <w:numPr>
          <w:ilvl w:val="0"/>
          <w:numId w:val="2"/>
        </w:numPr>
        <w:tabs>
          <w:tab w:val="left" w:pos="918"/>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olor w:val="auto"/>
          <w:kern w:val="2"/>
          <w:sz w:val="32"/>
          <w:szCs w:val="32"/>
          <w:u w:val="none"/>
          <w:lang w:val="en-US" w:eastAsia="zh-CN" w:bidi="ar"/>
        </w:rPr>
      </w:pPr>
      <w:r>
        <w:rPr>
          <w:rFonts w:hint="eastAsia" w:ascii="黑体" w:hAnsi="黑体" w:eastAsia="黑体" w:cs="黑体"/>
          <w:i w:val="0"/>
          <w:color w:val="auto"/>
          <w:kern w:val="2"/>
          <w:sz w:val="32"/>
          <w:szCs w:val="32"/>
          <w:u w:val="none"/>
          <w:lang w:val="en-US" w:eastAsia="zh-CN" w:bidi="ar"/>
        </w:rPr>
        <w:t>服务资质</w:t>
      </w:r>
    </w:p>
    <w:p>
      <w:pPr>
        <w:keepNext w:val="0"/>
        <w:keepLines w:val="0"/>
        <w:pageBreakBefore w:val="0"/>
        <w:widowControl w:val="0"/>
        <w:numPr>
          <w:ilvl w:val="0"/>
          <w:numId w:val="0"/>
        </w:numPr>
        <w:tabs>
          <w:tab w:val="left" w:pos="918"/>
        </w:tabs>
        <w:kinsoku/>
        <w:wordWrap/>
        <w:overflowPunct/>
        <w:topLinePunct w:val="0"/>
        <w:autoSpaceDE/>
        <w:autoSpaceDN/>
        <w:bidi w:val="0"/>
        <w:adjustRightInd/>
        <w:snapToGrid/>
        <w:spacing w:line="560" w:lineRule="exact"/>
        <w:jc w:val="both"/>
        <w:textAlignment w:val="auto"/>
        <w:rPr>
          <w:rFonts w:hint="default" w:eastAsia="仿宋_GB2312" w:cs="Times New Roman"/>
          <w:i w:val="0"/>
          <w:color w:val="auto"/>
          <w:kern w:val="2"/>
          <w:sz w:val="32"/>
          <w:szCs w:val="32"/>
          <w:u w:val="none"/>
          <w:lang w:val="en-US" w:eastAsia="zh-CN" w:bidi="ar"/>
        </w:rPr>
      </w:pPr>
      <w:r>
        <w:rPr>
          <w:rFonts w:hint="eastAsia" w:eastAsia="仿宋_GB2312" w:cs="Times New Roman"/>
          <w:i w:val="0"/>
          <w:color w:val="auto"/>
          <w:kern w:val="2"/>
          <w:sz w:val="32"/>
          <w:szCs w:val="32"/>
          <w:u w:val="none"/>
          <w:lang w:val="en-US" w:eastAsia="zh-CN" w:bidi="ar"/>
        </w:rPr>
        <w:t xml:space="preserve">   </w:t>
      </w:r>
      <w:r>
        <w:rPr>
          <w:rFonts w:hint="default" w:ascii="Times New Roman" w:hAnsi="Times New Roman" w:eastAsia="仿宋_GB2312" w:cs="Times New Roman"/>
          <w:i w:val="0"/>
          <w:color w:val="auto"/>
          <w:kern w:val="2"/>
          <w:sz w:val="32"/>
          <w:szCs w:val="32"/>
          <w:u w:val="none"/>
          <w:lang w:val="en-US" w:eastAsia="zh-CN" w:bidi="ar"/>
        </w:rPr>
        <w:t>投标企业</w:t>
      </w:r>
      <w:r>
        <w:rPr>
          <w:rFonts w:hint="eastAsia" w:eastAsia="仿宋_GB2312" w:cs="Times New Roman"/>
          <w:i w:val="0"/>
          <w:color w:val="auto"/>
          <w:kern w:val="2"/>
          <w:sz w:val="32"/>
          <w:szCs w:val="32"/>
          <w:u w:val="none"/>
          <w:lang w:val="en-US" w:eastAsia="zh-CN" w:bidi="ar"/>
        </w:rPr>
        <w:t>提供企业资质证书（发证机构：中华人民共和国住房和城乡建设部、省住房和城乡建设厅、市住房和城乡建设局）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4"/>
          <w:u w:val="none" w:color="auto"/>
          <w:lang w:val="en-US" w:eastAsia="zh-CN"/>
        </w:rPr>
      </w:pPr>
      <w:r>
        <w:rPr>
          <w:rFonts w:hint="eastAsia"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施工</w:t>
      </w:r>
      <w:r>
        <w:rPr>
          <w:rFonts w:hint="default" w:ascii="Times New Roman" w:hAnsi="Times New Roman" w:eastAsia="黑体" w:cs="Times New Roman"/>
          <w:color w:val="auto"/>
          <w:sz w:val="32"/>
          <w:szCs w:val="32"/>
          <w:lang w:val="en-US" w:eastAsia="zh-CN"/>
        </w:rPr>
        <w:t>团队情况</w:t>
      </w:r>
      <w:r>
        <w:rPr>
          <w:rFonts w:hint="default" w:ascii="Times New Roman" w:hAnsi="Times New Roman" w:eastAsia="仿宋_GB2312" w:cs="Times New Roman"/>
          <w:color w:val="auto"/>
          <w:sz w:val="32"/>
          <w:szCs w:val="32"/>
          <w:lang w:val="en-US" w:eastAsia="zh-CN"/>
        </w:rPr>
        <w:t>（请提供证明材料</w:t>
      </w:r>
      <w:r>
        <w:rPr>
          <w:rFonts w:hint="default" w:ascii="Times New Roman" w:hAnsi="Times New Roman" w:eastAsia="黑体" w:cs="Times New Roman"/>
          <w:color w:val="auto"/>
          <w:sz w:val="32"/>
          <w:szCs w:val="32"/>
          <w:lang w:val="en-US" w:eastAsia="zh-CN"/>
        </w:rPr>
        <w:t>）</w:t>
      </w:r>
    </w:p>
    <w:p>
      <w:pPr>
        <w:keepNext w:val="0"/>
        <w:keepLines w:val="0"/>
        <w:pageBreakBefore w:val="0"/>
        <w:widowControl w:val="0"/>
        <w:tabs>
          <w:tab w:val="left" w:pos="1687"/>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2017年1月1日至今（以合同签署时间为准），与各企事业单位装修、改造项目单个合同金额在20万元（含）以上的案例（需要提供正式施工合同）</w:t>
      </w:r>
      <w:r>
        <w:rPr>
          <w:rFonts w:hint="default" w:ascii="Times New Roman" w:hAnsi="Times New Roman" w:eastAsia="仿宋_GB2312" w:cs="Times New Roman"/>
          <w:color w:val="auto"/>
          <w:sz w:val="32"/>
          <w:szCs w:val="44"/>
          <w:u w:val="none" w:color="auto"/>
          <w:lang w:val="en-US" w:eastAsia="zh-CN"/>
        </w:rPr>
        <w:t>；</w:t>
      </w:r>
    </w:p>
    <w:p>
      <w:pPr>
        <w:keepNext w:val="0"/>
        <w:keepLines w:val="0"/>
        <w:pageBreakBefore w:val="0"/>
        <w:widowControl w:val="0"/>
        <w:tabs>
          <w:tab w:val="left" w:pos="1687"/>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2.公司指定具备建造师资格证；项目负责人具备2017年1月1日至今（以合同签署时间为准）的企事业单位装修、改造管理案例（需提供正式施工合同，所提供合同能充分反映负责人业绩情况）。</w:t>
      </w:r>
    </w:p>
    <w:p>
      <w:pPr>
        <w:keepNext w:val="0"/>
        <w:keepLines w:val="0"/>
        <w:pageBreakBefore w:val="0"/>
        <w:widowControl w:val="0"/>
        <w:tabs>
          <w:tab w:val="left" w:pos="1687"/>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3.安全负责人持有有效期内的安全生产考核合格证书</w:t>
      </w:r>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安全负责人取得安全生产考核合格证年限。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七</w:t>
      </w:r>
      <w:r>
        <w:rPr>
          <w:rFonts w:hint="default" w:ascii="Times New Roman" w:hAnsi="Times New Roman" w:eastAsia="黑体" w:cs="Times New Roman"/>
          <w:color w:val="auto"/>
          <w:sz w:val="32"/>
          <w:szCs w:val="44"/>
          <w:u w:val="none" w:color="auto"/>
          <w:lang w:eastAsia="zh-CN"/>
        </w:rPr>
        <w:t>、本单位承接该项目的工作方案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1.</w:t>
      </w:r>
      <w:r>
        <w:rPr>
          <w:rFonts w:hint="default" w:ascii="Times New Roman" w:hAnsi="Times New Roman" w:eastAsia="楷体" w:cs="Times New Roman"/>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2.</w:t>
      </w:r>
      <w:r>
        <w:rPr>
          <w:rFonts w:hint="default" w:ascii="Times New Roman" w:hAnsi="Times New Roman" w:eastAsia="楷体" w:cs="Times New Roman"/>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楷体" w:cs="Times New Roman"/>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3.</w:t>
      </w:r>
      <w:r>
        <w:rPr>
          <w:rFonts w:hint="default" w:ascii="Times New Roman" w:hAnsi="Times New Roman" w:eastAsia="楷体" w:cs="Times New Roman"/>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方案完整性</w:t>
      </w:r>
      <w:r>
        <w:rPr>
          <w:rFonts w:hint="eastAsia" w:eastAsia="仿宋_GB2312" w:cs="Times New Roman"/>
          <w:color w:val="auto"/>
          <w:sz w:val="32"/>
          <w:szCs w:val="44"/>
          <w:u w:val="none" w:color="auto"/>
          <w:lang w:val="en-US" w:eastAsia="zh-CN"/>
        </w:rPr>
        <w:t>、专业性</w:t>
      </w:r>
      <w:r>
        <w:rPr>
          <w:rFonts w:hint="default" w:ascii="Times New Roman" w:hAnsi="Times New Roman" w:eastAsia="仿宋_GB2312" w:cs="Times New Roman"/>
          <w:color w:val="auto"/>
          <w:sz w:val="32"/>
          <w:szCs w:val="44"/>
          <w:u w:val="none" w:color="auto"/>
          <w:lang w:val="en-US" w:eastAsia="zh-CN"/>
        </w:rPr>
        <w:t>。充分体现</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单位的能力和经验，方案思路清晰、内容全面，实施办法科学合理</w:t>
      </w:r>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详细说明</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的流程、可操作性强，</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措施完善。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方案质量性评价。任务时间节点清晰，</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八</w:t>
      </w:r>
      <w:r>
        <w:rPr>
          <w:rFonts w:hint="default" w:ascii="Times New Roman" w:hAnsi="Times New Roman" w:eastAsia="黑体" w:cs="Times New Roman"/>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包括后期服务</w:t>
      </w:r>
      <w:r>
        <w:rPr>
          <w:rFonts w:hint="eastAsia" w:eastAsia="仿宋_GB2312" w:cs="Times New Roman"/>
          <w:color w:val="auto"/>
          <w:sz w:val="32"/>
          <w:szCs w:val="44"/>
          <w:u w:val="none" w:color="auto"/>
          <w:lang w:val="en-US" w:eastAsia="zh-CN"/>
        </w:rPr>
        <w:t>（整体工程项目保修期）</w:t>
      </w:r>
      <w:r>
        <w:rPr>
          <w:rFonts w:hint="default" w:ascii="Times New Roman" w:hAnsi="Times New Roman" w:eastAsia="仿宋_GB2312" w:cs="Times New Roman"/>
          <w:color w:val="auto"/>
          <w:sz w:val="32"/>
          <w:szCs w:val="44"/>
          <w:u w:val="none" w:color="auto"/>
          <w:lang w:val="en-US" w:eastAsia="zh-CN"/>
        </w:rPr>
        <w:t>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F61FB"/>
    <w:multiLevelType w:val="singleLevel"/>
    <w:tmpl w:val="D9FF61FB"/>
    <w:lvl w:ilvl="0" w:tentative="0">
      <w:start w:val="5"/>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1870"/>
    <w:rsid w:val="2B2D63CB"/>
    <w:rsid w:val="39F15BE5"/>
    <w:rsid w:val="46A24ABB"/>
    <w:rsid w:val="4E3F74E4"/>
    <w:rsid w:val="53F61870"/>
    <w:rsid w:val="5A700C5D"/>
    <w:rsid w:val="6079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晓vic晓</cp:lastModifiedBy>
  <dcterms:modified xsi:type="dcterms:W3CDTF">2022-04-20T01:34:45Z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