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kern w:val="0"/>
          <w:sz w:val="32"/>
          <w:szCs w:val="32"/>
        </w:rPr>
      </w:pPr>
      <w:r>
        <w:rPr>
          <w:rFonts w:hint="eastAsia" w:ascii="宋体" w:hAnsi="宋体" w:eastAsia="宋体" w:cs="宋体"/>
          <w:b/>
          <w:bCs/>
          <w:kern w:val="0"/>
          <w:sz w:val="32"/>
          <w:szCs w:val="32"/>
        </w:rPr>
        <w:t>广州市少年宫2021年信息安全保障服务项目</w:t>
      </w:r>
      <w:r>
        <w:rPr>
          <w:rFonts w:ascii="宋体" w:hAnsi="宋体" w:eastAsia="宋体" w:cs="宋体"/>
          <w:b/>
          <w:bCs/>
          <w:kern w:val="0"/>
          <w:sz w:val="32"/>
          <w:szCs w:val="32"/>
        </w:rPr>
        <w:t>评审、定标原则</w:t>
      </w:r>
    </w:p>
    <w:p>
      <w:pPr>
        <w:jc w:val="left"/>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评分标准）</w:t>
      </w:r>
      <w:bookmarkStart w:id="0" w:name="_GoBack"/>
      <w:bookmarkEnd w:id="0"/>
      <w:r>
        <w:rPr>
          <w:rFonts w:ascii="宋体" w:hAnsi="宋体" w:eastAsia="宋体" w:cs="宋体"/>
          <w:kern w:val="0"/>
          <w:sz w:val="24"/>
          <w:szCs w:val="24"/>
        </w:rPr>
        <w:br w:type="textWrapping"/>
      </w:r>
      <w:r>
        <w:rPr>
          <w:rFonts w:hint="eastAsia" w:ascii="仿宋_GB2312" w:hAnsi="仿宋_GB2312" w:eastAsia="仿宋_GB2312" w:cs="仿宋_GB2312"/>
          <w:sz w:val="28"/>
          <w:szCs w:val="28"/>
        </w:rPr>
        <w:t xml:space="preserve">采用综合评分法，综合评分=技术商务评分+价格评分，将综合评分由高到低顺序排列。综合评分相同的，按评标价由低到高顺序排列；综合评分相同，且评标价相同的，按技术评分由高到低顺序排列。综合评分相同，且评标价和技术评分均相同的，名次由评委会抽签决定。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1.综合评分法</w:t>
      </w:r>
    </w:p>
    <w:tbl>
      <w:tblPr>
        <w:tblStyle w:val="2"/>
        <w:tblW w:w="889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68"/>
        <w:gridCol w:w="3333"/>
        <w:gridCol w:w="31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368" w:type="dxa"/>
            <w:tcBorders>
              <w:top w:val="outset" w:color="auto" w:sz="6" w:space="0"/>
              <w:left w:val="outset" w:color="auto" w:sz="6" w:space="0"/>
              <w:bottom w:val="outset" w:color="auto" w:sz="6" w:space="0"/>
              <w:right w:val="outset" w:color="auto" w:sz="6" w:space="0"/>
            </w:tcBorders>
            <w:vAlign w:val="center"/>
          </w:tcPr>
          <w:p>
            <w:pPr>
              <w:widowControl/>
              <w:ind w:firstLine="0" w:firstLineChars="0"/>
              <w:jc w:val="center"/>
              <w:rPr>
                <w:kern w:val="0"/>
                <w:szCs w:val="32"/>
              </w:rPr>
            </w:pPr>
            <w:r>
              <w:rPr>
                <w:kern w:val="0"/>
                <w:szCs w:val="32"/>
              </w:rPr>
              <w:t>评分项目</w:t>
            </w:r>
          </w:p>
        </w:tc>
        <w:tc>
          <w:tcPr>
            <w:tcW w:w="333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0" w:firstLineChars="0"/>
              <w:jc w:val="center"/>
              <w:rPr>
                <w:kern w:val="0"/>
                <w:szCs w:val="32"/>
              </w:rPr>
            </w:pPr>
            <w:r>
              <w:rPr>
                <w:kern w:val="0"/>
                <w:szCs w:val="32"/>
              </w:rPr>
              <w:t>技术商务评分</w:t>
            </w:r>
          </w:p>
        </w:tc>
        <w:tc>
          <w:tcPr>
            <w:tcW w:w="319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0" w:firstLineChars="0"/>
              <w:jc w:val="center"/>
              <w:rPr>
                <w:kern w:val="0"/>
                <w:szCs w:val="32"/>
              </w:rPr>
            </w:pPr>
            <w:r>
              <w:rPr>
                <w:kern w:val="0"/>
                <w:szCs w:val="32"/>
              </w:rPr>
              <w:t>价格评分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36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0" w:firstLineChars="0"/>
              <w:jc w:val="center"/>
              <w:rPr>
                <w:kern w:val="0"/>
                <w:szCs w:val="32"/>
              </w:rPr>
            </w:pPr>
            <w:r>
              <w:rPr>
                <w:kern w:val="0"/>
                <w:szCs w:val="32"/>
              </w:rPr>
              <w:t>分值</w:t>
            </w:r>
          </w:p>
        </w:tc>
        <w:tc>
          <w:tcPr>
            <w:tcW w:w="333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0" w:firstLineChars="0"/>
              <w:jc w:val="center"/>
              <w:rPr>
                <w:kern w:val="0"/>
                <w:szCs w:val="32"/>
              </w:rPr>
            </w:pPr>
            <w:r>
              <w:rPr>
                <w:kern w:val="0"/>
                <w:szCs w:val="32"/>
              </w:rPr>
              <w:t>50分</w:t>
            </w:r>
          </w:p>
        </w:tc>
        <w:tc>
          <w:tcPr>
            <w:tcW w:w="319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0" w:firstLineChars="0"/>
              <w:jc w:val="center"/>
              <w:rPr>
                <w:kern w:val="0"/>
                <w:szCs w:val="32"/>
              </w:rPr>
            </w:pPr>
            <w:r>
              <w:rPr>
                <w:kern w:val="0"/>
                <w:szCs w:val="32"/>
              </w:rPr>
              <w:t>50分</w:t>
            </w:r>
          </w:p>
        </w:tc>
      </w:tr>
    </w:tbl>
    <w:p>
      <w:pPr>
        <w:ind w:firstLine="640"/>
      </w:pPr>
      <w:r>
        <w:t xml:space="preserve">2.技术商务评分 </w:t>
      </w:r>
    </w:p>
    <w:tbl>
      <w:tblPr>
        <w:tblStyle w:val="2"/>
        <w:tblW w:w="9019" w:type="dxa"/>
        <w:jc w:val="center"/>
        <w:tblLayout w:type="fixed"/>
        <w:tblCellMar>
          <w:top w:w="0" w:type="dxa"/>
          <w:left w:w="108" w:type="dxa"/>
          <w:bottom w:w="0" w:type="dxa"/>
          <w:right w:w="108" w:type="dxa"/>
        </w:tblCellMar>
      </w:tblPr>
      <w:tblGrid>
        <w:gridCol w:w="529"/>
        <w:gridCol w:w="857"/>
        <w:gridCol w:w="3672"/>
        <w:gridCol w:w="3961"/>
      </w:tblGrid>
      <w:tr>
        <w:tblPrEx>
          <w:tblCellMar>
            <w:top w:w="0" w:type="dxa"/>
            <w:left w:w="108" w:type="dxa"/>
            <w:bottom w:w="0" w:type="dxa"/>
            <w:right w:w="108" w:type="dxa"/>
          </w:tblCellMar>
        </w:tblPrEx>
        <w:trPr>
          <w:trHeight w:val="648" w:hRule="atLeast"/>
          <w:jc w:val="center"/>
        </w:trPr>
        <w:tc>
          <w:tcPr>
            <w:tcW w:w="529"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320" w:lineRule="exact"/>
              <w:ind w:firstLine="0" w:firstLineChars="0"/>
              <w:jc w:val="center"/>
              <w:rPr>
                <w:b/>
                <w:bCs/>
                <w:color w:val="000000"/>
                <w:kern w:val="0"/>
                <w:sz w:val="24"/>
                <w:szCs w:val="24"/>
              </w:rPr>
            </w:pPr>
            <w:r>
              <w:rPr>
                <w:b/>
                <w:bCs/>
                <w:color w:val="000000"/>
                <w:kern w:val="0"/>
                <w:sz w:val="24"/>
                <w:szCs w:val="24"/>
              </w:rPr>
              <w:t>序号</w:t>
            </w:r>
          </w:p>
        </w:tc>
        <w:tc>
          <w:tcPr>
            <w:tcW w:w="857" w:type="dxa"/>
            <w:tcBorders>
              <w:top w:val="single" w:color="auto" w:sz="4" w:space="0"/>
              <w:left w:val="nil"/>
              <w:bottom w:val="single" w:color="auto" w:sz="4" w:space="0"/>
              <w:right w:val="single" w:color="auto" w:sz="4" w:space="0"/>
            </w:tcBorders>
            <w:shd w:val="clear" w:color="000000" w:fill="D9D9D9"/>
            <w:vAlign w:val="center"/>
          </w:tcPr>
          <w:p>
            <w:pPr>
              <w:widowControl/>
              <w:spacing w:line="280" w:lineRule="exact"/>
              <w:ind w:firstLine="0" w:firstLineChars="0"/>
              <w:rPr>
                <w:b/>
                <w:bCs/>
                <w:color w:val="000000"/>
                <w:kern w:val="0"/>
                <w:sz w:val="24"/>
                <w:szCs w:val="24"/>
              </w:rPr>
            </w:pPr>
            <w:r>
              <w:rPr>
                <w:b/>
                <w:bCs/>
                <w:color w:val="000000"/>
                <w:kern w:val="0"/>
                <w:sz w:val="24"/>
                <w:szCs w:val="24"/>
              </w:rPr>
              <w:t xml:space="preserve">技术商务评分（50） </w:t>
            </w:r>
          </w:p>
        </w:tc>
        <w:tc>
          <w:tcPr>
            <w:tcW w:w="3672" w:type="dxa"/>
            <w:tcBorders>
              <w:top w:val="single" w:color="auto" w:sz="4" w:space="0"/>
              <w:left w:val="nil"/>
              <w:bottom w:val="single" w:color="auto" w:sz="4" w:space="0"/>
              <w:right w:val="single" w:color="auto" w:sz="4" w:space="0"/>
            </w:tcBorders>
            <w:shd w:val="clear" w:color="000000" w:fill="D9D9D9"/>
            <w:vAlign w:val="center"/>
          </w:tcPr>
          <w:p>
            <w:pPr>
              <w:widowControl/>
              <w:spacing w:line="320" w:lineRule="exact"/>
              <w:ind w:firstLine="0" w:firstLineChars="0"/>
              <w:jc w:val="center"/>
              <w:rPr>
                <w:b/>
                <w:bCs/>
                <w:color w:val="000000"/>
                <w:kern w:val="0"/>
                <w:sz w:val="24"/>
                <w:szCs w:val="24"/>
              </w:rPr>
            </w:pPr>
            <w:r>
              <w:rPr>
                <w:b/>
                <w:bCs/>
                <w:color w:val="000000"/>
                <w:kern w:val="0"/>
                <w:sz w:val="24"/>
                <w:szCs w:val="24"/>
              </w:rPr>
              <w:t>评审内容</w:t>
            </w:r>
          </w:p>
        </w:tc>
        <w:tc>
          <w:tcPr>
            <w:tcW w:w="3961" w:type="dxa"/>
            <w:tcBorders>
              <w:top w:val="single" w:color="auto" w:sz="4" w:space="0"/>
              <w:left w:val="nil"/>
              <w:bottom w:val="single" w:color="auto" w:sz="4" w:space="0"/>
              <w:right w:val="single" w:color="auto" w:sz="4" w:space="0"/>
            </w:tcBorders>
            <w:shd w:val="clear" w:color="000000" w:fill="D9D9D9"/>
            <w:vAlign w:val="center"/>
          </w:tcPr>
          <w:p>
            <w:pPr>
              <w:widowControl/>
              <w:spacing w:line="320" w:lineRule="exact"/>
              <w:ind w:firstLine="0" w:firstLineChars="0"/>
              <w:jc w:val="center"/>
              <w:rPr>
                <w:b/>
                <w:bCs/>
                <w:color w:val="000000"/>
                <w:kern w:val="0"/>
                <w:sz w:val="24"/>
                <w:szCs w:val="24"/>
              </w:rPr>
            </w:pPr>
            <w:r>
              <w:rPr>
                <w:b/>
                <w:bCs/>
                <w:color w:val="000000"/>
                <w:kern w:val="0"/>
                <w:sz w:val="24"/>
                <w:szCs w:val="24"/>
              </w:rPr>
              <w:t>评分细则</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4</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项目整体理解及方案整体响应情况：对本项目总体需求、目标和建设任务的理解和把握清晰的情况。</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根据投标人的响应情况进行比较。对比优得4分；对比次之得3分；对比一般得1分；对比差得0分。</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2</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8</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项目服务内容响应情况</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根据投标人的响应情况进行比较。对比优得8分；对比次之得5分；对比一般得3分；对比差得0分。</w:t>
            </w:r>
          </w:p>
        </w:tc>
      </w:tr>
      <w:tr>
        <w:tblPrEx>
          <w:tblCellMar>
            <w:top w:w="0" w:type="dxa"/>
            <w:left w:w="108" w:type="dxa"/>
            <w:bottom w:w="0" w:type="dxa"/>
            <w:right w:w="108" w:type="dxa"/>
          </w:tblCellMar>
        </w:tblPrEx>
        <w:trPr>
          <w:trHeight w:val="172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3</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6</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服务工具</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（1）根据工具功能响应情况进行比较，满足或优于采购需求得2分；对比次之得 1分；对比一般得 0.5分；对比差得 0分。</w:t>
            </w:r>
            <w:r>
              <w:rPr>
                <w:color w:val="000000"/>
                <w:kern w:val="0"/>
                <w:sz w:val="24"/>
                <w:szCs w:val="24"/>
              </w:rPr>
              <w:br w:type="textWrapping"/>
            </w:r>
            <w:r>
              <w:rPr>
                <w:color w:val="000000"/>
                <w:kern w:val="0"/>
                <w:sz w:val="24"/>
                <w:szCs w:val="24"/>
              </w:rPr>
              <w:t>（2）安全服务所需工具提供软件产品登记证书或软件专利证书或著作权等，全部工具均能提供得4分，缺少1个扣1分，扣完为止。</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4</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2</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项目管理方案的针对性、合理性</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根据响应情况进行比较，满足或优于采购需求得 2分；对比次之得1分；对比一般得 0.5分；对比差得 0分。</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5</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2</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服务质量保证（针对服务进度保障情况、服务人员</w:t>
            </w:r>
            <w:r>
              <w:rPr>
                <w:rFonts w:hint="eastAsia"/>
                <w:color w:val="000000"/>
                <w:kern w:val="0"/>
                <w:sz w:val="24"/>
                <w:szCs w:val="24"/>
              </w:rPr>
              <w:t>管</w:t>
            </w:r>
            <w:r>
              <w:rPr>
                <w:color w:val="000000"/>
                <w:kern w:val="0"/>
                <w:sz w:val="24"/>
                <w:szCs w:val="24"/>
              </w:rPr>
              <w:t>理要求情况进行评估）</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根据响应情况进行比较，满足或优于采购需求得2分；对比次之得1分；对比一般得0.5分；对比差得 0分。</w:t>
            </w:r>
          </w:p>
        </w:tc>
      </w:tr>
      <w:tr>
        <w:tblPrEx>
          <w:tblCellMar>
            <w:top w:w="0" w:type="dxa"/>
            <w:left w:w="108" w:type="dxa"/>
            <w:bottom w:w="0" w:type="dxa"/>
            <w:right w:w="108" w:type="dxa"/>
          </w:tblCellMar>
        </w:tblPrEx>
        <w:trPr>
          <w:trHeight w:val="1512"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6</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4</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本项目项目经理的资质，提供认证证书等技术证书复印件并加盖公章，并提供在本公司任职的外部证明材料（政府有关部门印章的打印日期在本项目投标截止日之前六个月以内的任一个月《投保单》或《社会保险参保人员证明》，或单位代缴个人所得税税单等）复印件。</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1）具有人力资源和社会保障厅颁发的信息系统项目管理师证书；2）ITIL Expert证书；3）具有中国信息安全测评中心颁发的国家注册信息安全专业人员证书；4）具有工信部电子科学技术情报研究院颁发的信息安全管理师。每个得1分，最高得4分。</w:t>
            </w:r>
          </w:p>
        </w:tc>
      </w:tr>
      <w:tr>
        <w:tblPrEx>
          <w:tblCellMar>
            <w:top w:w="0" w:type="dxa"/>
            <w:left w:w="108" w:type="dxa"/>
            <w:bottom w:w="0" w:type="dxa"/>
            <w:right w:w="108" w:type="dxa"/>
          </w:tblCellMar>
        </w:tblPrEx>
        <w:trPr>
          <w:trHeight w:val="969"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7</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6</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投标人综合实力证明，提供证明文件复印件：（1）具有ISO20000信息技术服务管理体系认证且认证范围包含安全服务，1.5分。 （2）具有ISO27001信息安全管理体系认证且认证范围包含安全服务，1.5分。 （3）具有ISO9001质量管理体系认证且认证范围包含安全服务，1.5分。 （4）具有ISO14001环境管理体系认证证书且认证范围包含安全服务，1.5分。 要求提供证书扫描件以及“全国认证认可信息公共服务平台”，（网站地址为：http://cx.cnca.cn/CertECloud/index/index/page）的查询截图。 本项评分最高6分。</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每个得1.5分，本项最高得6分。</w:t>
            </w:r>
          </w:p>
        </w:tc>
      </w:tr>
      <w:tr>
        <w:tblPrEx>
          <w:tblCellMar>
            <w:top w:w="0" w:type="dxa"/>
            <w:left w:w="108" w:type="dxa"/>
            <w:bottom w:w="0" w:type="dxa"/>
            <w:right w:w="108" w:type="dxa"/>
          </w:tblCellMar>
        </w:tblPrEx>
        <w:trPr>
          <w:trHeight w:val="216"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8</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4</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投标人信誉情况，提供证明文件复印件。</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每个得1分，本项最高得4分。</w:t>
            </w:r>
          </w:p>
        </w:tc>
      </w:tr>
      <w:tr>
        <w:tblPrEx>
          <w:tblCellMar>
            <w:top w:w="0" w:type="dxa"/>
            <w:left w:w="108" w:type="dxa"/>
            <w:bottom w:w="0" w:type="dxa"/>
            <w:right w:w="108" w:type="dxa"/>
          </w:tblCellMar>
        </w:tblPrEx>
        <w:trPr>
          <w:trHeight w:val="3456"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eastAsia="仿宋_GB2312"/>
                <w:color w:val="000000"/>
                <w:kern w:val="0"/>
                <w:sz w:val="24"/>
                <w:szCs w:val="24"/>
                <w:lang w:eastAsia="zh-CN"/>
              </w:rPr>
            </w:pPr>
            <w:r>
              <w:rPr>
                <w:rFonts w:hint="eastAsia"/>
                <w:color w:val="000000"/>
                <w:kern w:val="0"/>
                <w:sz w:val="24"/>
                <w:szCs w:val="24"/>
                <w:lang w:val="en-US" w:eastAsia="zh-CN"/>
              </w:rPr>
              <w:t>9</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8</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本项目主要技术和管理人员资质，提供资质证书复印件，一人具有多项资质不可重复计算。</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1、渗透专家岗（1人）要求同时具备服务器技术认证证书、CompTIA Security证书、中级渗透测试工程师证书资质证书，满足得2分，否则不得分。 2、安全服务岗（1人）要求同时具备网络工程师及CISSP资质证书，满足得2分，否则不得分。 3、应急管理岗（1人）要求具备ITIL证书、ITSS项目经理、中国电子信息行业联合会项目经理资质、PMP资质证书，满足得2分，否则不得分。 4、二线技术专家岗（1人）要求具备高级工程师、中国电子信息行业联合会高级项目经理资质和信息安全工程师证书，全部满足得2分，否则不得分。 本项评分最高8分</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10</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4</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投标人2018年以来具有信息安全服务项目经验，以合同要点复印件为准。</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每个得1分，最多得4分。请投标人严格按照要求提交相关证明材料，否则有可能影响评审结果。</w:t>
            </w:r>
          </w:p>
        </w:tc>
      </w:tr>
      <w:tr>
        <w:tblPrEx>
          <w:tblCellMar>
            <w:top w:w="0" w:type="dxa"/>
            <w:left w:w="108" w:type="dxa"/>
            <w:bottom w:w="0" w:type="dxa"/>
            <w:right w:w="108" w:type="dxa"/>
          </w:tblCellMar>
        </w:tblPrEx>
        <w:trPr>
          <w:trHeight w:val="648"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11</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1</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履约能力、财务状况（以2020年经审计的财务审计报告复印件为准）。</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优(90%≤得分≤100%)；良(70%≤得分＜90%)；中(40%≤得分＜70%)；差(得分＜40%)。</w:t>
            </w:r>
          </w:p>
        </w:tc>
      </w:tr>
      <w:tr>
        <w:tblPrEx>
          <w:tblCellMar>
            <w:top w:w="0" w:type="dxa"/>
            <w:left w:w="108" w:type="dxa"/>
            <w:bottom w:w="0" w:type="dxa"/>
            <w:right w:w="108" w:type="dxa"/>
          </w:tblCellMar>
        </w:tblPrEx>
        <w:trPr>
          <w:trHeight w:val="537" w:hRule="atLeast"/>
          <w:jc w:val="center"/>
        </w:trPr>
        <w:tc>
          <w:tcPr>
            <w:tcW w:w="5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12</w:t>
            </w:r>
          </w:p>
        </w:tc>
        <w:tc>
          <w:tcPr>
            <w:tcW w:w="857"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color w:val="000000"/>
                <w:kern w:val="0"/>
                <w:sz w:val="24"/>
                <w:szCs w:val="24"/>
              </w:rPr>
            </w:pPr>
            <w:r>
              <w:rPr>
                <w:color w:val="000000"/>
                <w:kern w:val="0"/>
                <w:sz w:val="24"/>
                <w:szCs w:val="24"/>
              </w:rPr>
              <w:t>1</w:t>
            </w:r>
          </w:p>
        </w:tc>
        <w:tc>
          <w:tcPr>
            <w:tcW w:w="367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对不良信用记录的扣分</w:t>
            </w:r>
          </w:p>
        </w:tc>
        <w:tc>
          <w:tcPr>
            <w:tcW w:w="3961"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color w:val="000000"/>
                <w:kern w:val="0"/>
                <w:sz w:val="24"/>
                <w:szCs w:val="24"/>
              </w:rPr>
            </w:pPr>
            <w:r>
              <w:rPr>
                <w:color w:val="000000"/>
                <w:kern w:val="0"/>
                <w:sz w:val="24"/>
                <w:szCs w:val="24"/>
              </w:rPr>
              <w:t>以“信用中国”（www.creditchina.gov.cn）网站为查询渠道，对列入企业经营异常名录的供应商每一条记录扣1分，最高扣3分；未列入则不扣分。评审时评标委员会应将信用信息查询记录和证据截图存档。</w:t>
            </w:r>
          </w:p>
        </w:tc>
      </w:tr>
    </w:tbl>
    <w:p>
      <w:pPr>
        <w:widowControl/>
        <w:ind w:firstLine="640"/>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3.价格分 </w:t>
      </w:r>
    </w:p>
    <w:p>
      <w:pPr>
        <w:widowControl/>
        <w:spacing w:before="100" w:beforeAutospacing="1" w:after="100" w:afterAutospacing="1"/>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计算价格评分：价格分统一采用低价优先法计算，各有效投标人的评标价中，取最低价为评标基准价，其价格分为满分。其他投标人的价格分统一按照下列公式计算：价格评分=（评标基准价／评标价）×50分）。</w:t>
      </w:r>
    </w:p>
    <w:sectPr>
      <w:pgSz w:w="11906" w:h="16838"/>
      <w:pgMar w:top="2098" w:right="1474" w:bottom="1984" w:left="1588" w:header="851" w:footer="992" w:gutter="0"/>
      <w:cols w:space="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D6646"/>
    <w:rsid w:val="00206D27"/>
    <w:rsid w:val="005F7592"/>
    <w:rsid w:val="007C68AF"/>
    <w:rsid w:val="007C7A31"/>
    <w:rsid w:val="00C05C66"/>
    <w:rsid w:val="03200705"/>
    <w:rsid w:val="104F602E"/>
    <w:rsid w:val="1E1B06FB"/>
    <w:rsid w:val="28BD0FA4"/>
    <w:rsid w:val="2A434328"/>
    <w:rsid w:val="387D6646"/>
    <w:rsid w:val="4401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广州市少年宫</Company>
  <Pages>1</Pages>
  <Words>282</Words>
  <Characters>1612</Characters>
  <Lines>13</Lines>
  <Paragraphs>3</Paragraphs>
  <TotalTime>2</TotalTime>
  <ScaleCrop>false</ScaleCrop>
  <LinksUpToDate>false</LinksUpToDate>
  <CharactersWithSpaces>1891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2020-10-15T07:53:00Z</dcterms:created>
  <dc:creator>晓vic晓</dc:creator>
  <cp:lastModifiedBy>admin</cp:lastModifiedBy>
  <dcterms:modified xsi:type="dcterms:W3CDTF">2021-12-16T00:41:23Z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61FEA317CB314E41AE6F4C657D5CEC1A</vt:lpwstr>
  </property>
</Properties>
</file>