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color w:val="FF0000"/>
          <w:sz w:val="32"/>
          <w:szCs w:val="32"/>
          <w:lang w:val="en-US" w:eastAsia="zh-CN"/>
        </w:rPr>
        <w:t>36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color w:val="auto"/>
          <w:kern w:val="0"/>
          <w:lang w:eastAsia="zh-CN"/>
        </w:rPr>
        <w:t>广州市第三少年宫地下室浸水设备修复工程造价预算编制服务项目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5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16"/>
        <w:gridCol w:w="3714"/>
        <w:gridCol w:w="136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eastAsia="zh-CN"/>
              </w:rPr>
              <w:t>广州市第三少年宫地下室浸水设备修复方案及预算编制服务项目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auto"/>
                <w:kern w:val="0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lang w:eastAsia="zh-CN"/>
              </w:rPr>
              <w:t>1.根据广州市第三少年宫地下室修复施工方案、结合定损评估报告，对比现场，确定修复工程的工程量清单，出具工程量清单书；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val="en-US" w:eastAsia="zh-CN"/>
              </w:rPr>
              <w:t>2.核对修复方案，确认修复方案能否满足造价预算编制的要求，如不满足要求，则提出修改意见。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val="en-US" w:eastAsia="zh-CN"/>
              </w:rPr>
              <w:t>3.</w:t>
            </w:r>
            <w:r>
              <w:rPr>
                <w:rFonts w:hint="eastAsia" w:cs="Times New Roman"/>
                <w:color w:val="auto"/>
                <w:kern w:val="0"/>
                <w:lang w:eastAsia="zh-CN"/>
              </w:rPr>
              <w:t>作出预算造价（预算价、施工标招标控制价）。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val="en-US" w:eastAsia="zh-CN"/>
              </w:rPr>
              <w:t>4.在后期财评环节，就预算构成作出解释说明，补充、修改完善预算等工作。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center"/>
        <w:rPr>
          <w:rFonts w:hint="default" w:ascii="Times New Roman" w:hAnsi="Times New Roman" w:cs="Times New Roman"/>
          <w:color w:val="auto"/>
          <w:kern w:val="0"/>
          <w:lang w:val="en-US" w:eastAsia="zh-CN"/>
        </w:rPr>
      </w:pP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A9298E"/>
    <w:rsid w:val="03B84A39"/>
    <w:rsid w:val="06F72CB5"/>
    <w:rsid w:val="092A33C9"/>
    <w:rsid w:val="09F71FFD"/>
    <w:rsid w:val="0C043A63"/>
    <w:rsid w:val="0C43200B"/>
    <w:rsid w:val="0C460B9E"/>
    <w:rsid w:val="0CFF7E91"/>
    <w:rsid w:val="0F7905C9"/>
    <w:rsid w:val="13FB0999"/>
    <w:rsid w:val="18E85BBC"/>
    <w:rsid w:val="19DA2E70"/>
    <w:rsid w:val="1F8566A9"/>
    <w:rsid w:val="21BD69C1"/>
    <w:rsid w:val="22C83591"/>
    <w:rsid w:val="239742C7"/>
    <w:rsid w:val="256017B5"/>
    <w:rsid w:val="2E1175AB"/>
    <w:rsid w:val="2F2F5473"/>
    <w:rsid w:val="309A60E6"/>
    <w:rsid w:val="31E15FD1"/>
    <w:rsid w:val="33785EAE"/>
    <w:rsid w:val="33C17E13"/>
    <w:rsid w:val="33F46411"/>
    <w:rsid w:val="34817C66"/>
    <w:rsid w:val="3ADA2F22"/>
    <w:rsid w:val="3B4B73A9"/>
    <w:rsid w:val="3EC2584F"/>
    <w:rsid w:val="406313FF"/>
    <w:rsid w:val="42544A18"/>
    <w:rsid w:val="427135D8"/>
    <w:rsid w:val="4320694E"/>
    <w:rsid w:val="45AF32C8"/>
    <w:rsid w:val="47E12D52"/>
    <w:rsid w:val="48404D2A"/>
    <w:rsid w:val="4C592444"/>
    <w:rsid w:val="4C886432"/>
    <w:rsid w:val="4DF72B52"/>
    <w:rsid w:val="4FD543D6"/>
    <w:rsid w:val="59003463"/>
    <w:rsid w:val="5B7352D7"/>
    <w:rsid w:val="5C7F1A71"/>
    <w:rsid w:val="5C8569F8"/>
    <w:rsid w:val="5DEB1085"/>
    <w:rsid w:val="6588343B"/>
    <w:rsid w:val="67923F0B"/>
    <w:rsid w:val="67CA3118"/>
    <w:rsid w:val="683B0D80"/>
    <w:rsid w:val="696066E1"/>
    <w:rsid w:val="6AE03840"/>
    <w:rsid w:val="6BDC24FA"/>
    <w:rsid w:val="6BF66782"/>
    <w:rsid w:val="6E6126A1"/>
    <w:rsid w:val="737D4700"/>
    <w:rsid w:val="739947EB"/>
    <w:rsid w:val="73D7572E"/>
    <w:rsid w:val="79A44E7F"/>
    <w:rsid w:val="79BA6D38"/>
    <w:rsid w:val="7B2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Administrator</cp:lastModifiedBy>
  <dcterms:modified xsi:type="dcterms:W3CDTF">2020-11-15T02:44:15Z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