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color w:val="auto"/>
        </w:rPr>
      </w:pPr>
      <w:bookmarkStart w:id="3" w:name="_GoBack"/>
      <w:bookmarkEnd w:id="3"/>
      <w:bookmarkStart w:id="0" w:name="_Hlk533590101"/>
    </w:p>
    <w:p>
      <w:pPr>
        <w:widowControl/>
        <w:spacing w:line="240" w:lineRule="auto"/>
        <w:ind w:right="480" w:firstLine="0" w:firstLineChars="0"/>
        <w:jc w:val="left"/>
        <w:rPr>
          <w:rStyle w:val="10"/>
          <w:rFonts w:hint="default" w:ascii="Calibri" w:hAnsi="Calibri" w:eastAsia="仿宋_GB2312"/>
          <w:iCs w:val="0"/>
          <w:color w:val="auto"/>
          <w:lang w:val="en-US"/>
        </w:rPr>
      </w:pPr>
      <w:r>
        <w:rPr>
          <w:rStyle w:val="10"/>
          <w:color w:val="auto"/>
        </w:rPr>
        <w:t>附件</w:t>
      </w:r>
      <w:r>
        <w:rPr>
          <w:rStyle w:val="10"/>
          <w:rFonts w:hint="eastAsia" w:eastAsia="黑体"/>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2"/>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2"/>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一、采购项目名称：广州市少年宫培训项目价格标准制定项目</w:t>
      </w:r>
      <w:r>
        <w:rPr>
          <w:rFonts w:ascii="宋体" w:hAnsi="宋体" w:eastAsia="宋体"/>
          <w:color w:val="auto"/>
          <w:kern w:val="0"/>
          <w:sz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黄老师</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020-81360560</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hint="eastAsia" w:ascii="宋体" w:hAnsi="宋体" w:eastAsia="宋体"/>
          <w:color w:val="auto"/>
          <w:kern w:val="0"/>
          <w:sz w:val="28"/>
          <w:lang w:val="en-US" w:eastAsia="zh-CN"/>
        </w:rPr>
        <w:t>2020</w:t>
      </w:r>
      <w:r>
        <w:rPr>
          <w:rFonts w:hint="eastAsia" w:ascii="宋体" w:hAnsi="宋体" w:eastAsia="宋体"/>
          <w:color w:val="auto"/>
          <w:kern w:val="0"/>
          <w:sz w:val="28"/>
        </w:rPr>
        <w:t>年</w:t>
      </w:r>
      <w:r>
        <w:rPr>
          <w:rFonts w:hint="eastAsia" w:ascii="宋体" w:hAnsi="宋体" w:eastAsia="宋体"/>
          <w:color w:val="auto"/>
          <w:kern w:val="0"/>
          <w:sz w:val="28"/>
          <w:lang w:val="en-US" w:eastAsia="zh-CN"/>
        </w:rPr>
        <w:t>10</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hint="eastAsia" w:ascii="宋体" w:hAnsi="宋体" w:eastAsia="宋体"/>
          <w:color w:val="auto"/>
          <w:kern w:val="0"/>
          <w:sz w:val="28"/>
          <w:lang w:val="en-US" w:eastAsia="zh-CN"/>
        </w:rPr>
        <w:t>2020</w:t>
      </w:r>
      <w:r>
        <w:rPr>
          <w:rFonts w:hint="eastAsia" w:ascii="宋体" w:hAnsi="宋体" w:eastAsia="宋体"/>
          <w:color w:val="auto"/>
          <w:kern w:val="0"/>
          <w:sz w:val="28"/>
        </w:rPr>
        <w:t>年</w:t>
      </w:r>
      <w:r>
        <w:rPr>
          <w:rFonts w:hint="eastAsia" w:ascii="宋体" w:hAnsi="宋体" w:eastAsia="宋体"/>
          <w:color w:val="auto"/>
          <w:kern w:val="0"/>
          <w:sz w:val="28"/>
          <w:lang w:val="en-US" w:eastAsia="zh-CN"/>
        </w:rPr>
        <w:t>10</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11"/>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eastAsia="zh-CN"/>
              </w:rPr>
              <w:t>梳理市少年宫近三年培训项目价格</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eastAsia="zh-CN"/>
              </w:rPr>
              <w:t>形成价格目录</w:t>
            </w:r>
          </w:p>
        </w:tc>
        <w:tc>
          <w:tcPr>
            <w:tcW w:w="904" w:type="dxa"/>
            <w:vAlign w:val="center"/>
          </w:tcPr>
          <w:p>
            <w:pPr>
              <w:widowControl/>
              <w:ind w:firstLine="0" w:firstLineChars="0"/>
              <w:jc w:val="center"/>
              <w:textAlignment w:val="center"/>
              <w:rPr>
                <w:rFonts w:ascii="宋体" w:hAnsi="宋体" w:eastAsia="宋体"/>
                <w:color w:val="auto"/>
                <w:kern w:val="0"/>
                <w:sz w:val="24"/>
                <w:szCs w:val="24"/>
              </w:rPr>
            </w:pPr>
            <w:r>
              <w:rPr>
                <w:rFonts w:hint="eastAsia" w:ascii="Times New Roman" w:hAnsi="Times New Roman" w:eastAsia="仿宋_GB2312" w:cs="Times New Roman"/>
                <w:color w:val="auto"/>
                <w:kern w:val="0"/>
                <w:sz w:val="24"/>
                <w:szCs w:val="24"/>
                <w:lang w:val="en-US" w:eastAsia="zh-CN"/>
              </w:rPr>
              <w:t>1</w:t>
            </w:r>
          </w:p>
        </w:tc>
        <w:tc>
          <w:tcPr>
            <w:tcW w:w="880" w:type="dxa"/>
            <w:vAlign w:val="center"/>
          </w:tcPr>
          <w:p>
            <w:pPr>
              <w:widowControl/>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Merge w:val="restart"/>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2020年11月中旬前</w:t>
            </w:r>
          </w:p>
        </w:tc>
        <w:tc>
          <w:tcPr>
            <w:tcW w:w="1071" w:type="dxa"/>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成本分析调查</w:t>
            </w:r>
          </w:p>
        </w:tc>
        <w:tc>
          <w:tcPr>
            <w:tcW w:w="1425"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形成报告</w:t>
            </w:r>
          </w:p>
        </w:tc>
        <w:tc>
          <w:tcPr>
            <w:tcW w:w="904" w:type="dxa"/>
            <w:vAlign w:val="center"/>
          </w:tcPr>
          <w:p>
            <w:pPr>
              <w:widowControl/>
              <w:ind w:firstLine="0" w:firstLineChars="0"/>
              <w:jc w:val="center"/>
              <w:textAlignment w:val="center"/>
              <w:rPr>
                <w:rFonts w:ascii="宋体" w:hAnsi="宋体" w:eastAsia="宋体"/>
                <w:color w:val="auto"/>
                <w:kern w:val="0"/>
                <w:sz w:val="24"/>
                <w:szCs w:val="24"/>
              </w:rPr>
            </w:pPr>
            <w:r>
              <w:rPr>
                <w:rFonts w:hint="default" w:ascii="Times New Roman" w:hAnsi="Times New Roman" w:eastAsia="仿宋_GB2312" w:cs="Times New Roman"/>
                <w:color w:val="auto"/>
                <w:kern w:val="0"/>
                <w:sz w:val="24"/>
                <w:szCs w:val="24"/>
                <w:lang w:val="en-US" w:eastAsia="zh-CN"/>
              </w:rPr>
              <w:t>1</w:t>
            </w:r>
          </w:p>
        </w:tc>
        <w:tc>
          <w:tcPr>
            <w:tcW w:w="880" w:type="dxa"/>
            <w:vAlign w:val="center"/>
          </w:tcPr>
          <w:p>
            <w:pPr>
              <w:widowControl/>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Merge w:val="continue"/>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价格调查</w:t>
            </w:r>
          </w:p>
        </w:tc>
        <w:tc>
          <w:tcPr>
            <w:tcW w:w="1425"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形成报告</w:t>
            </w:r>
          </w:p>
        </w:tc>
        <w:tc>
          <w:tcPr>
            <w:tcW w:w="904" w:type="dxa"/>
            <w:vAlign w:val="center"/>
          </w:tcPr>
          <w:p>
            <w:pPr>
              <w:widowControl/>
              <w:ind w:firstLine="0" w:firstLineChars="0"/>
              <w:jc w:val="center"/>
              <w:textAlignment w:val="center"/>
              <w:rPr>
                <w:rFonts w:ascii="宋体" w:hAnsi="宋体" w:eastAsia="宋体"/>
                <w:color w:val="auto"/>
                <w:kern w:val="0"/>
                <w:sz w:val="24"/>
                <w:szCs w:val="24"/>
              </w:rPr>
            </w:pPr>
            <w:r>
              <w:rPr>
                <w:rFonts w:hint="default" w:ascii="Times New Roman" w:hAnsi="Times New Roman" w:eastAsia="仿宋_GB2312" w:cs="Times New Roman"/>
                <w:color w:val="auto"/>
                <w:kern w:val="0"/>
                <w:sz w:val="24"/>
                <w:szCs w:val="24"/>
                <w:lang w:val="en-US" w:eastAsia="zh-CN"/>
              </w:rPr>
              <w:t>1</w:t>
            </w:r>
          </w:p>
        </w:tc>
        <w:tc>
          <w:tcPr>
            <w:tcW w:w="880" w:type="dxa"/>
            <w:vAlign w:val="center"/>
          </w:tcPr>
          <w:p>
            <w:pPr>
              <w:widowControl/>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Merge w:val="continue"/>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社会意见征集调查</w:t>
            </w:r>
          </w:p>
        </w:tc>
        <w:tc>
          <w:tcPr>
            <w:tcW w:w="1425"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形成报告</w:t>
            </w:r>
          </w:p>
        </w:tc>
        <w:tc>
          <w:tcPr>
            <w:tcW w:w="904" w:type="dxa"/>
            <w:vAlign w:val="center"/>
          </w:tcPr>
          <w:p>
            <w:pPr>
              <w:widowControl/>
              <w:ind w:firstLine="0" w:firstLineChars="0"/>
              <w:jc w:val="center"/>
              <w:textAlignment w:val="center"/>
              <w:rPr>
                <w:rFonts w:ascii="宋体" w:hAnsi="宋体" w:eastAsia="宋体"/>
                <w:color w:val="auto"/>
                <w:kern w:val="0"/>
                <w:sz w:val="24"/>
                <w:szCs w:val="24"/>
              </w:rPr>
            </w:pPr>
            <w:r>
              <w:rPr>
                <w:rFonts w:hint="default" w:ascii="Times New Roman" w:hAnsi="Times New Roman" w:eastAsia="仿宋_GB2312" w:cs="Times New Roman"/>
                <w:color w:val="auto"/>
                <w:kern w:val="0"/>
                <w:sz w:val="24"/>
                <w:szCs w:val="24"/>
                <w:lang w:val="en-US" w:eastAsia="zh-CN"/>
              </w:rPr>
              <w:t>1</w:t>
            </w:r>
          </w:p>
        </w:tc>
        <w:tc>
          <w:tcPr>
            <w:tcW w:w="880" w:type="dxa"/>
            <w:vAlign w:val="center"/>
          </w:tcPr>
          <w:p>
            <w:pPr>
              <w:widowControl/>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Merge w:val="continue"/>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风险评估</w:t>
            </w:r>
            <w:r>
              <w:rPr>
                <w:rFonts w:hint="eastAsia" w:ascii="宋体" w:hAnsi="宋体" w:eastAsia="宋体" w:cs="宋体"/>
                <w:color w:val="auto"/>
                <w:kern w:val="0"/>
                <w:sz w:val="24"/>
                <w:szCs w:val="24"/>
                <w:lang w:eastAsia="zh-CN"/>
              </w:rPr>
              <w:t>工作</w:t>
            </w:r>
          </w:p>
        </w:tc>
        <w:tc>
          <w:tcPr>
            <w:tcW w:w="1425"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形成报告</w:t>
            </w:r>
          </w:p>
        </w:tc>
        <w:tc>
          <w:tcPr>
            <w:tcW w:w="904" w:type="dxa"/>
            <w:vAlign w:val="center"/>
          </w:tcPr>
          <w:p>
            <w:pPr>
              <w:widowControl/>
              <w:ind w:firstLine="0" w:firstLineChars="0"/>
              <w:jc w:val="center"/>
              <w:textAlignment w:val="center"/>
              <w:rPr>
                <w:rFonts w:ascii="宋体" w:hAnsi="宋体" w:eastAsia="宋体"/>
                <w:color w:val="auto"/>
                <w:kern w:val="0"/>
                <w:sz w:val="24"/>
                <w:szCs w:val="24"/>
              </w:rPr>
            </w:pPr>
            <w:r>
              <w:rPr>
                <w:rFonts w:hint="default" w:ascii="Times New Roman" w:hAnsi="Times New Roman" w:eastAsia="仿宋_GB2312" w:cs="Times New Roman"/>
                <w:color w:val="auto"/>
                <w:kern w:val="0"/>
                <w:sz w:val="24"/>
                <w:szCs w:val="24"/>
                <w:lang w:val="en-US" w:eastAsia="zh-CN"/>
              </w:rPr>
              <w:t>1</w:t>
            </w:r>
          </w:p>
        </w:tc>
        <w:tc>
          <w:tcPr>
            <w:tcW w:w="880" w:type="dxa"/>
            <w:vAlign w:val="center"/>
          </w:tcPr>
          <w:p>
            <w:pPr>
              <w:widowControl/>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Merge w:val="continue"/>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lang w:val="en-US" w:eastAsia="zh-CN"/>
              </w:rPr>
              <w:t>6</w:t>
            </w:r>
          </w:p>
        </w:tc>
        <w:tc>
          <w:tcPr>
            <w:tcW w:w="1271"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廉洁性评估</w:t>
            </w:r>
            <w:r>
              <w:rPr>
                <w:rFonts w:hint="eastAsia" w:ascii="宋体" w:hAnsi="宋体" w:eastAsia="宋体" w:cs="宋体"/>
                <w:color w:val="auto"/>
                <w:kern w:val="0"/>
                <w:sz w:val="24"/>
                <w:szCs w:val="24"/>
                <w:lang w:eastAsia="zh-CN"/>
              </w:rPr>
              <w:t>工作</w:t>
            </w:r>
          </w:p>
        </w:tc>
        <w:tc>
          <w:tcPr>
            <w:tcW w:w="1425"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形成报告</w:t>
            </w:r>
          </w:p>
        </w:tc>
        <w:tc>
          <w:tcPr>
            <w:tcW w:w="904" w:type="dxa"/>
            <w:vAlign w:val="center"/>
          </w:tcPr>
          <w:p>
            <w:pPr>
              <w:widowControl/>
              <w:ind w:firstLine="0" w:firstLineChars="0"/>
              <w:jc w:val="center"/>
              <w:textAlignment w:val="center"/>
              <w:rPr>
                <w:rFonts w:ascii="宋体" w:hAnsi="宋体" w:eastAsia="宋体"/>
                <w:color w:val="auto"/>
                <w:kern w:val="0"/>
                <w:sz w:val="24"/>
                <w:szCs w:val="24"/>
              </w:rPr>
            </w:pPr>
            <w:r>
              <w:rPr>
                <w:rFonts w:hint="default" w:ascii="Times New Roman" w:hAnsi="Times New Roman" w:eastAsia="仿宋_GB2312" w:cs="Times New Roman"/>
                <w:color w:val="auto"/>
                <w:kern w:val="0"/>
                <w:sz w:val="24"/>
                <w:szCs w:val="24"/>
                <w:lang w:val="en-US" w:eastAsia="zh-CN"/>
              </w:rPr>
              <w:t>1</w:t>
            </w:r>
          </w:p>
        </w:tc>
        <w:tc>
          <w:tcPr>
            <w:tcW w:w="880" w:type="dxa"/>
            <w:vAlign w:val="center"/>
          </w:tcPr>
          <w:p>
            <w:pPr>
              <w:widowControl/>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Merge w:val="continue"/>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7</w:t>
            </w:r>
          </w:p>
        </w:tc>
        <w:tc>
          <w:tcPr>
            <w:tcW w:w="1271"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eastAsia="zh-CN"/>
              </w:rPr>
              <w:t>制定价格方案</w:t>
            </w:r>
          </w:p>
        </w:tc>
        <w:tc>
          <w:tcPr>
            <w:tcW w:w="1425" w:type="dxa"/>
            <w:vAlign w:val="center"/>
          </w:tcPr>
          <w:p>
            <w:pPr>
              <w:widowControl/>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形成方案</w:t>
            </w:r>
          </w:p>
        </w:tc>
        <w:tc>
          <w:tcPr>
            <w:tcW w:w="904" w:type="dxa"/>
            <w:vAlign w:val="center"/>
          </w:tcPr>
          <w:p>
            <w:pPr>
              <w:widowControl/>
              <w:ind w:firstLine="0" w:firstLineChars="0"/>
              <w:jc w:val="center"/>
              <w:textAlignment w:val="center"/>
              <w:rPr>
                <w:rFonts w:ascii="宋体" w:hAnsi="宋体" w:eastAsia="宋体"/>
                <w:color w:val="auto"/>
                <w:kern w:val="0"/>
                <w:sz w:val="24"/>
                <w:szCs w:val="24"/>
              </w:rPr>
            </w:pPr>
            <w:r>
              <w:rPr>
                <w:rFonts w:hint="eastAsia" w:ascii="Times New Roman" w:hAnsi="Times New Roman" w:eastAsia="仿宋_GB2312" w:cs="Times New Roman"/>
                <w:color w:val="auto"/>
                <w:kern w:val="0"/>
                <w:sz w:val="24"/>
                <w:szCs w:val="24"/>
                <w:lang w:val="en-US" w:eastAsia="zh-CN"/>
              </w:rPr>
              <w:t>1</w:t>
            </w:r>
          </w:p>
        </w:tc>
        <w:tc>
          <w:tcPr>
            <w:tcW w:w="880" w:type="dxa"/>
            <w:vAlign w:val="center"/>
          </w:tcPr>
          <w:p>
            <w:pPr>
              <w:widowControl/>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2020年12月底前</w:t>
            </w: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435" w:charSpace="0"/>
        </w:sectPr>
      </w:pPr>
    </w:p>
    <w:p>
      <w:pPr>
        <w:pStyle w:val="4"/>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 xml:space="preserve"> 广州市少年宫培训项目价格标准制定项</w:t>
      </w:r>
      <w:r>
        <w:rPr>
          <w:rFonts w:hint="eastAsia" w:ascii="Times New Roman" w:hAnsi="Times New Roman" w:cs="Times New Roman"/>
          <w:color w:val="auto"/>
          <w:sz w:val="28"/>
          <w:u w:val="single"/>
          <w:lang w:eastAsia="zh-CN"/>
        </w:rPr>
        <w:t>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广州市少年宫培训项目价格标准制定项目</w:t>
      </w:r>
      <w:r>
        <w:rPr>
          <w:rFonts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4"/>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1"/>
    <w:bookmarkEnd w:id="2"/>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4"/>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11"/>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4"/>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4"/>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广州市少年宫培训项目价格标准制定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bookmarkEnd w:id="0"/>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6"/>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87637"/>
    <w:rsid w:val="0431468C"/>
    <w:rsid w:val="07547C3F"/>
    <w:rsid w:val="10B56020"/>
    <w:rsid w:val="11831C6D"/>
    <w:rsid w:val="12092B1D"/>
    <w:rsid w:val="14E47ED0"/>
    <w:rsid w:val="257824A5"/>
    <w:rsid w:val="2B507C9E"/>
    <w:rsid w:val="32983DCD"/>
    <w:rsid w:val="32AE17FD"/>
    <w:rsid w:val="340A6B1C"/>
    <w:rsid w:val="359D08A6"/>
    <w:rsid w:val="38FD1421"/>
    <w:rsid w:val="47A464F3"/>
    <w:rsid w:val="48F27935"/>
    <w:rsid w:val="4EE16DAA"/>
    <w:rsid w:val="503139AD"/>
    <w:rsid w:val="538A526D"/>
    <w:rsid w:val="58CB48F5"/>
    <w:rsid w:val="5B2C79AB"/>
    <w:rsid w:val="5E19475C"/>
    <w:rsid w:val="5F6A62AF"/>
    <w:rsid w:val="607574BD"/>
    <w:rsid w:val="6E5A311E"/>
    <w:rsid w:val="6EFE19D9"/>
    <w:rsid w:val="70BF247A"/>
    <w:rsid w:val="76A85E26"/>
    <w:rsid w:val="79DE19EC"/>
    <w:rsid w:val="7B69139C"/>
    <w:rsid w:val="7E677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eastAsia="仿宋_GB2312"/>
      <w:kern w:val="2"/>
      <w:sz w:val="32"/>
      <w:szCs w:val="22"/>
      <w:lang w:val="en-US" w:eastAsia="zh-CN" w:bidi="ar-SA"/>
    </w:rPr>
  </w:style>
  <w:style w:type="paragraph" w:styleId="2">
    <w:name w:val="heading 1"/>
    <w:basedOn w:val="1"/>
    <w:next w:val="1"/>
    <w:link w:val="20"/>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paragraph" w:styleId="3">
    <w:name w:val="heading 3"/>
    <w:basedOn w:val="1"/>
    <w:next w:val="1"/>
    <w:link w:val="22"/>
    <w:uiPriority w:val="0"/>
    <w:pPr>
      <w:keepNext/>
      <w:keepLines/>
      <w:spacing w:before="260" w:beforeLines="0" w:after="260" w:afterLines="0" w:line="416" w:lineRule="auto"/>
      <w:ind w:firstLine="560"/>
      <w:outlineLvl w:val="2"/>
    </w:pPr>
    <w:rPr>
      <w:rFonts w:ascii="宋体" w:hAnsi="宋体" w:eastAsia="宋体" w:cs="黑体"/>
      <w:b/>
      <w:bCs/>
      <w:sz w:val="32"/>
      <w:szCs w:val="32"/>
    </w:rPr>
  </w:style>
  <w:style w:type="character" w:default="1" w:styleId="9">
    <w:name w:val="Default Paragraph Font"/>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4">
    <w:name w:val="Plain Text"/>
    <w:basedOn w:val="1"/>
    <w:link w:val="14"/>
    <w:uiPriority w:val="0"/>
    <w:pPr>
      <w:spacing w:line="500" w:lineRule="exact"/>
      <w:ind w:firstLine="560"/>
    </w:pPr>
    <w:rPr>
      <w:rFonts w:ascii="宋体" w:hAnsi="Courier New" w:eastAsia="宋体" w:cs="黑体"/>
      <w:szCs w:val="21"/>
    </w:rPr>
  </w:style>
  <w:style w:type="paragraph" w:styleId="5">
    <w:name w:val="Balloon Text"/>
    <w:basedOn w:val="1"/>
    <w:link w:val="16"/>
    <w:uiPriority w:val="0"/>
    <w:pPr>
      <w:spacing w:line="240" w:lineRule="auto"/>
    </w:pPr>
    <w:rPr>
      <w:rFonts w:eastAsia="仿宋_GB2312"/>
      <w:sz w:val="18"/>
      <w:szCs w:val="18"/>
    </w:rPr>
  </w:style>
  <w:style w:type="paragraph" w:styleId="6">
    <w:name w:val="footer"/>
    <w:basedOn w:val="1"/>
    <w:link w:val="18"/>
    <w:uiPriority w:val="0"/>
    <w:pPr>
      <w:tabs>
        <w:tab w:val="center" w:pos="4153"/>
        <w:tab w:val="right" w:pos="8306"/>
      </w:tabs>
      <w:snapToGrid w:val="0"/>
      <w:jc w:val="left"/>
    </w:pPr>
    <w:rPr>
      <w:sz w:val="18"/>
      <w:szCs w:val="18"/>
    </w:rPr>
  </w:style>
  <w:style w:type="paragraph" w:styleId="7">
    <w:name w:val="header"/>
    <w:basedOn w:val="1"/>
    <w:link w:val="15"/>
    <w:uiPriority w:val="0"/>
    <w:pPr>
      <w:tabs>
        <w:tab w:val="center" w:pos="4153"/>
        <w:tab w:val="right" w:pos="8306"/>
      </w:tabs>
      <w:snapToGrid w:val="0"/>
      <w:jc w:val="center"/>
    </w:pPr>
    <w:rPr>
      <w:rFonts w:eastAsia="仿宋_GB2312"/>
      <w:sz w:val="18"/>
      <w:szCs w:val="18"/>
    </w:rPr>
  </w:style>
  <w:style w:type="paragraph" w:styleId="8">
    <w:name w:val="Title"/>
    <w:link w:val="23"/>
    <w:uiPriority w:val="0"/>
    <w:pPr>
      <w:spacing w:line="680" w:lineRule="exact"/>
      <w:jc w:val="center"/>
      <w:outlineLvl w:val="0"/>
    </w:pPr>
    <w:rPr>
      <w:rFonts w:ascii="Cambria" w:hAnsi="Cambria" w:eastAsia="方正小标宋简体" w:cs="Times New Roman"/>
      <w:bCs/>
      <w:sz w:val="44"/>
      <w:szCs w:val="32"/>
    </w:rPr>
  </w:style>
  <w:style w:type="character" w:styleId="10">
    <w:name w:val="Emphasis"/>
    <w:uiPriority w:val="0"/>
    <w:rPr>
      <w:rFonts w:ascii="Times New Roman" w:hAnsi="Times New Roman" w:eastAsia="黑体"/>
      <w:iCs/>
      <w:sz w:val="32"/>
    </w:rPr>
  </w:style>
  <w:style w:type="paragraph" w:customStyle="1" w:styleId="12">
    <w:name w:val="Blockquote"/>
    <w:basedOn w:val="1"/>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13">
    <w:name w:val="font41"/>
    <w:uiPriority w:val="0"/>
    <w:rPr>
      <w:rFonts w:hint="eastAsia" w:ascii="宋体" w:hAnsi="宋体" w:eastAsia="宋体" w:cs="宋体"/>
      <w:color w:val="000000"/>
      <w:sz w:val="28"/>
      <w:szCs w:val="28"/>
      <w:u w:val="none"/>
    </w:rPr>
  </w:style>
  <w:style w:type="character" w:customStyle="1" w:styleId="14">
    <w:name w:val="纯文本 字符"/>
    <w:link w:val="4"/>
    <w:uiPriority w:val="0"/>
    <w:rPr>
      <w:rFonts w:ascii="宋体" w:hAnsi="Courier New" w:eastAsia="宋体" w:cs="黑体"/>
      <w:szCs w:val="21"/>
    </w:rPr>
  </w:style>
  <w:style w:type="character" w:customStyle="1" w:styleId="15">
    <w:name w:val="页眉 字符"/>
    <w:link w:val="7"/>
    <w:uiPriority w:val="0"/>
    <w:rPr>
      <w:rFonts w:eastAsia="仿宋_GB2312"/>
      <w:sz w:val="18"/>
      <w:szCs w:val="18"/>
    </w:rPr>
  </w:style>
  <w:style w:type="character" w:customStyle="1" w:styleId="16">
    <w:name w:val="批注框文本 字符"/>
    <w:link w:val="5"/>
    <w:uiPriority w:val="0"/>
    <w:rPr>
      <w:rFonts w:eastAsia="仿宋_GB2312"/>
      <w:sz w:val="18"/>
      <w:szCs w:val="18"/>
    </w:rPr>
  </w:style>
  <w:style w:type="character" w:customStyle="1" w:styleId="17">
    <w:name w:val="_Style 1"/>
    <w:uiPriority w:val="0"/>
    <w:rPr>
      <w:rFonts w:eastAsia="黑体"/>
      <w:iCs/>
      <w:color w:val="auto"/>
      <w:sz w:val="32"/>
    </w:rPr>
  </w:style>
  <w:style w:type="character" w:customStyle="1" w:styleId="18">
    <w:name w:val="页脚 字符"/>
    <w:link w:val="6"/>
    <w:uiPriority w:val="0"/>
    <w:rPr>
      <w:sz w:val="18"/>
      <w:szCs w:val="18"/>
    </w:rPr>
  </w:style>
  <w:style w:type="character" w:customStyle="1" w:styleId="19">
    <w:name w:val="font01"/>
    <w:uiPriority w:val="0"/>
    <w:rPr>
      <w:rFonts w:ascii="宋体" w:hAnsi="宋体" w:eastAsia="宋体" w:cs="宋体"/>
      <w:color w:val="000000"/>
      <w:sz w:val="28"/>
      <w:szCs w:val="28"/>
      <w:u w:val="none"/>
    </w:rPr>
  </w:style>
  <w:style w:type="character" w:customStyle="1" w:styleId="20">
    <w:name w:val="标题 1 字符"/>
    <w:link w:val="2"/>
    <w:uiPriority w:val="0"/>
    <w:rPr>
      <w:rFonts w:ascii="宋体" w:hAnsi="宋体" w:eastAsia="宋体" w:cs="宋体"/>
      <w:b/>
      <w:kern w:val="44"/>
      <w:sz w:val="48"/>
      <w:szCs w:val="48"/>
    </w:rPr>
  </w:style>
  <w:style w:type="character" w:styleId="21">
    <w:name w:val=""/>
    <w:uiPriority w:val="0"/>
    <w:rPr>
      <w:rFonts w:eastAsia="黑体"/>
      <w:iCs/>
      <w:color w:val="auto"/>
      <w:sz w:val="32"/>
    </w:rPr>
  </w:style>
  <w:style w:type="character" w:customStyle="1" w:styleId="22">
    <w:name w:val="标题 3 字符"/>
    <w:link w:val="3"/>
    <w:uiPriority w:val="0"/>
    <w:rPr>
      <w:rFonts w:ascii="宋体" w:hAnsi="宋体" w:eastAsia="宋体" w:cs="黑体"/>
      <w:b/>
      <w:bCs/>
      <w:sz w:val="32"/>
      <w:szCs w:val="32"/>
    </w:rPr>
  </w:style>
  <w:style w:type="character" w:customStyle="1" w:styleId="23">
    <w:name w:val="标题 字符"/>
    <w:link w:val="8"/>
    <w:uiPriority w:val="0"/>
    <w:rPr>
      <w:rFonts w:ascii="Cambria" w:hAnsi="Cambria" w:eastAsia="方正小标宋简体" w:cs="Times New Roman"/>
      <w:bCs/>
      <w:sz w:val="4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1241</Words>
  <Characters>7077</Characters>
  <Lines>58</Lines>
  <Paragraphs>16</Paragraphs>
  <TotalTime>16</TotalTime>
  <ScaleCrop>false</ScaleCrop>
  <LinksUpToDate>false</LinksUpToDate>
  <CharactersWithSpaces>8302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2018-12-25T07:19:00Z</dcterms:created>
  <dc:creator>Linleaf</dc:creator>
  <cp:lastModifiedBy>Administrator</cp:lastModifiedBy>
  <cp:lastPrinted>2019-03-12T03:11:57Z</cp:lastPrinted>
  <dcterms:modified xsi:type="dcterms:W3CDTF">2020-10-15T09:02:49Z</dcterms:modified>
  <dc:title>穗团校通〔2019〕4号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