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firstLine="0" w:firstLineChars="0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p>
      <w:pPr>
        <w:widowControl/>
        <w:ind w:firstLine="640"/>
        <w:textAlignment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仿宋_GB2312" w:hAnsi="仿宋_GB2312" w:eastAsia="仿宋_GB2312" w:cs="仿宋_GB2312"/>
          <w:kern w:val="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项目编号：</w:t>
      </w:r>
      <w:r>
        <w:rPr>
          <w:rFonts w:hint="eastAsia" w:ascii="仿宋_GB2312" w:hAnsi="仿宋_GB2312" w:cs="仿宋_GB2312"/>
          <w:kern w:val="0"/>
          <w:lang w:val="en-US" w:eastAsia="zh-CN"/>
        </w:rPr>
        <w:t>GZSSNG-WSXJ-CJB-2020-001</w:t>
      </w:r>
    </w:p>
    <w:p>
      <w:pPr>
        <w:widowControl/>
        <w:spacing w:line="680" w:lineRule="exact"/>
        <w:ind w:firstLine="0" w:firstLineChars="0"/>
        <w:jc w:val="both"/>
        <w:textAlignment w:val="center"/>
        <w:rPr>
          <w:rFonts w:hint="eastAsia" w:ascii="方正小标宋简体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val="none"/>
        </w:rPr>
        <w:t>广州市第三少年宫建筑物沉降观测项目</w:t>
      </w:r>
      <w:r>
        <w:rPr>
          <w:rFonts w:hint="eastAsia" w:ascii="仿宋_GB2312" w:hAnsi="仿宋_GB2312" w:cs="仿宋_GB2312"/>
          <w:kern w:val="0"/>
          <w:sz w:val="30"/>
          <w:szCs w:val="30"/>
          <w:u w:val="none"/>
          <w:lang w:val="en-US" w:eastAsia="zh-CN"/>
        </w:rPr>
        <w:t>需求清单</w:t>
      </w:r>
    </w:p>
    <w:tbl>
      <w:tblPr>
        <w:tblStyle w:val="2"/>
        <w:tblpPr w:leftFromText="180" w:rightFromText="180" w:vertAnchor="text" w:horzAnchor="page" w:tblpX="1917" w:tblpY="158"/>
        <w:tblOverlap w:val="never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921"/>
        <w:gridCol w:w="1244"/>
        <w:gridCol w:w="916"/>
        <w:gridCol w:w="178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监测项目内容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数量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完成时间要求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基准点埋设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个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6个月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沉降观测点埋设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33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个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6个月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高程基准网观测与复测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Km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6个月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复测3次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沉降观测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891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点.次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6个月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共观测27次</w:t>
            </w:r>
          </w:p>
        </w:tc>
      </w:tr>
    </w:tbl>
    <w:p>
      <w:p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说明：</w:t>
      </w:r>
    </w:p>
    <w:p>
      <w:p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1.建筑物沉降33个监测点，监测频率是每7天观测一次，监测周期暂定为6个月。</w:t>
      </w:r>
    </w:p>
    <w:p>
      <w:p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2.以上综合单价计费包括人工费、材料费、机械设备费、管理费、税费、成果报告等一切费用。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4C5A"/>
    <w:rsid w:val="0FD24C5A"/>
    <w:rsid w:val="1A297385"/>
    <w:rsid w:val="4475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2020-09-29T01:04:00Z</dcterms:created>
  <dc:creator>Administrator</dc:creator>
  <cp:lastModifiedBy>Administrator</cp:lastModifiedBy>
  <dcterms:modified xsi:type="dcterms:W3CDTF">2020-10-09T07:16:39Z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