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textAlignment w:val="center"/>
        <w:rPr>
          <w:rFonts w:hint="eastAsia" w:ascii="黑体" w:hAnsi="黑体" w:eastAsia="黑体"/>
          <w:color w:val="FF0000"/>
          <w:kern w:val="0"/>
          <w:lang w:eastAsia="zh-CN"/>
        </w:rPr>
      </w:pPr>
      <w:r>
        <w:rPr>
          <w:rFonts w:hint="eastAsia" w:ascii="黑体" w:hAnsi="黑体" w:eastAsia="黑体"/>
          <w:kern w:val="0"/>
        </w:rPr>
        <w:t>附件</w:t>
      </w:r>
      <w:r>
        <w:rPr>
          <w:rFonts w:hint="eastAsia" w:ascii="黑体" w:hAnsi="黑体" w:eastAsia="黑体"/>
          <w:kern w:val="0"/>
          <w:lang w:val="en-US" w:eastAsia="zh-CN"/>
        </w:rPr>
        <w:t>1</w:t>
      </w:r>
    </w:p>
    <w:p>
      <w:pPr>
        <w:spacing w:line="360" w:lineRule="auto"/>
        <w:ind w:left="2800" w:firstLine="562"/>
        <w:jc w:val="left"/>
        <w:rPr>
          <w:rFonts w:hint="eastAsia" w:ascii="宋体" w:hAnsi="宋体"/>
          <w:b/>
          <w:bCs/>
          <w:sz w:val="32"/>
          <w:szCs w:val="32"/>
        </w:rPr>
      </w:pPr>
      <w:r>
        <w:rPr>
          <w:rFonts w:hint="eastAsia" w:ascii="宋体" w:hAnsi="宋体" w:eastAsia="宋体" w:cs="宋体"/>
          <w:b/>
          <w:bCs/>
          <w:caps w:val="0"/>
          <w:color w:val="333333"/>
          <w:spacing w:val="0"/>
          <w:sz w:val="32"/>
          <w:szCs w:val="32"/>
          <w:lang w:eastAsia="zh-CN"/>
        </w:rPr>
        <w:t>采购需求清单</w:t>
      </w:r>
    </w:p>
    <w:p>
      <w:pPr>
        <w:numPr>
          <w:ilvl w:val="0"/>
          <w:numId w:val="1"/>
        </w:numPr>
        <w:adjustRightInd w:val="0"/>
        <w:spacing w:line="360" w:lineRule="auto"/>
        <w:ind w:left="623" w:leftChars="29" w:hanging="562" w:hangingChars="200"/>
        <w:rPr>
          <w:rFonts w:hint="eastAsia" w:ascii="仿宋" w:hAnsi="仿宋" w:eastAsia="仿宋" w:cs="仿宋"/>
          <w:b/>
          <w:bCs/>
          <w:sz w:val="28"/>
          <w:szCs w:val="28"/>
        </w:rPr>
      </w:pPr>
      <w:r>
        <w:rPr>
          <w:rFonts w:hint="eastAsia" w:ascii="仿宋" w:hAnsi="仿宋" w:eastAsia="仿宋" w:cs="仿宋"/>
          <w:b/>
          <w:bCs/>
          <w:sz w:val="28"/>
          <w:szCs w:val="28"/>
        </w:rPr>
        <w:t>项目概述：</w:t>
      </w:r>
    </w:p>
    <w:p>
      <w:pPr>
        <w:numPr>
          <w:ilvl w:val="0"/>
          <w:numId w:val="0"/>
        </w:numPr>
        <w:adjustRightInd w:val="0"/>
        <w:spacing w:line="360" w:lineRule="auto"/>
        <w:ind w:left="199" w:leftChars="95"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2020</w:t>
      </w:r>
      <w:r>
        <w:rPr>
          <w:rFonts w:hint="eastAsia" w:ascii="仿宋" w:hAnsi="仿宋" w:eastAsia="仿宋" w:cs="仿宋"/>
          <w:color w:val="auto"/>
          <w:sz w:val="28"/>
          <w:szCs w:val="28"/>
        </w:rPr>
        <w:t>年度广州市少年宫</w:t>
      </w:r>
      <w:r>
        <w:rPr>
          <w:rFonts w:hint="eastAsia" w:ascii="仿宋" w:hAnsi="仿宋" w:eastAsia="仿宋" w:cs="仿宋"/>
          <w:color w:val="auto"/>
          <w:sz w:val="28"/>
          <w:szCs w:val="28"/>
          <w:lang w:eastAsia="zh-CN"/>
        </w:rPr>
        <w:t>编外人员及离退休人员</w:t>
      </w:r>
      <w:r>
        <w:rPr>
          <w:rFonts w:hint="eastAsia" w:ascii="仿宋" w:hAnsi="仿宋" w:eastAsia="仿宋" w:cs="仿宋"/>
          <w:color w:val="auto"/>
          <w:sz w:val="28"/>
          <w:szCs w:val="28"/>
        </w:rPr>
        <w:t>健康体检</w:t>
      </w:r>
      <w:r>
        <w:rPr>
          <w:rFonts w:hint="eastAsia" w:ascii="仿宋" w:hAnsi="仿宋" w:eastAsia="仿宋" w:cs="仿宋"/>
          <w:color w:val="auto"/>
          <w:sz w:val="28"/>
          <w:szCs w:val="28"/>
          <w:lang w:eastAsia="zh-CN"/>
        </w:rPr>
        <w:t>项目，体检职工总</w:t>
      </w:r>
      <w:r>
        <w:rPr>
          <w:rFonts w:hint="eastAsia" w:ascii="仿宋" w:hAnsi="仿宋" w:eastAsia="仿宋" w:cs="仿宋"/>
          <w:color w:val="auto"/>
          <w:sz w:val="28"/>
          <w:szCs w:val="28"/>
        </w:rPr>
        <w:t>人数</w:t>
      </w:r>
      <w:r>
        <w:rPr>
          <w:rFonts w:hint="eastAsia" w:ascii="仿宋" w:hAnsi="仿宋" w:eastAsia="仿宋" w:cs="仿宋"/>
          <w:color w:val="auto"/>
          <w:sz w:val="28"/>
          <w:szCs w:val="28"/>
          <w:lang w:val="en-US" w:eastAsia="zh-CN"/>
        </w:rPr>
        <w:t>142</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分批进行，每批</w:t>
      </w:r>
      <w:r>
        <w:rPr>
          <w:rFonts w:hint="eastAsia" w:ascii="仿宋" w:hAnsi="仿宋" w:eastAsia="仿宋" w:cs="仿宋"/>
          <w:color w:val="auto"/>
          <w:sz w:val="28"/>
          <w:szCs w:val="28"/>
          <w:lang w:eastAsia="zh-CN"/>
        </w:rPr>
        <w:t>人数按采购人</w:t>
      </w:r>
      <w:r>
        <w:rPr>
          <w:rFonts w:hint="eastAsia" w:ascii="仿宋" w:hAnsi="仿宋" w:eastAsia="仿宋" w:cs="仿宋"/>
          <w:color w:val="auto"/>
          <w:sz w:val="28"/>
          <w:szCs w:val="28"/>
        </w:rPr>
        <w:t>组织</w:t>
      </w:r>
      <w:r>
        <w:rPr>
          <w:rFonts w:hint="eastAsia" w:ascii="仿宋" w:hAnsi="仿宋" w:eastAsia="仿宋" w:cs="仿宋"/>
          <w:color w:val="auto"/>
          <w:sz w:val="28"/>
          <w:szCs w:val="28"/>
          <w:lang w:eastAsia="zh-CN"/>
        </w:rPr>
        <w:t>的人数为准，开展体检时间为</w:t>
      </w:r>
      <w:r>
        <w:rPr>
          <w:rFonts w:hint="eastAsia" w:ascii="仿宋" w:hAnsi="仿宋" w:eastAsia="仿宋" w:cs="仿宋"/>
          <w:color w:val="auto"/>
          <w:sz w:val="28"/>
          <w:szCs w:val="28"/>
        </w:rPr>
        <w:t>合同签订</w:t>
      </w:r>
      <w:r>
        <w:rPr>
          <w:rFonts w:hint="eastAsia" w:ascii="仿宋" w:hAnsi="仿宋" w:eastAsia="仿宋" w:cs="仿宋"/>
          <w:color w:val="auto"/>
          <w:sz w:val="28"/>
          <w:szCs w:val="28"/>
          <w:lang w:eastAsia="zh-CN"/>
        </w:rPr>
        <w:t>之日起</w:t>
      </w:r>
      <w:r>
        <w:rPr>
          <w:rFonts w:hint="eastAsia" w:ascii="仿宋" w:hAnsi="仿宋" w:eastAsia="仿宋" w:cs="仿宋"/>
          <w:color w:val="auto"/>
          <w:sz w:val="28"/>
          <w:szCs w:val="28"/>
        </w:rPr>
        <w:t>至20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月3</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日。</w:t>
      </w:r>
    </w:p>
    <w:p>
      <w:pPr>
        <w:widowControl/>
        <w:ind w:firstLine="280" w:firstLineChars="100"/>
        <w:jc w:val="left"/>
        <w:rPr>
          <w:rFonts w:hint="default" w:ascii="仿宋_GB2312" w:hAnsi="仿宋_GB2312" w:eastAsia="仿宋_GB2312" w:cs="仿宋_GB2312"/>
          <w:color w:val="0000FF"/>
          <w:sz w:val="28"/>
          <w:szCs w:val="28"/>
          <w:lang w:val="en-US" w:eastAsia="zh-CN"/>
        </w:rPr>
      </w:pPr>
      <w:r>
        <w:rPr>
          <w:rFonts w:hint="eastAsia" w:ascii="仿宋" w:hAnsi="仿宋" w:eastAsia="仿宋" w:cs="仿宋"/>
          <w:color w:val="auto"/>
          <w:sz w:val="28"/>
          <w:szCs w:val="28"/>
          <w:lang w:val="en-US" w:eastAsia="zh-CN"/>
        </w:rPr>
        <w:t>2.体检费（</w:t>
      </w:r>
      <w:r>
        <w:rPr>
          <w:rFonts w:hint="eastAsia" w:ascii="仿宋" w:hAnsi="仿宋" w:eastAsia="仿宋" w:cs="仿宋"/>
          <w:color w:val="auto"/>
          <w:sz w:val="28"/>
          <w:szCs w:val="28"/>
        </w:rPr>
        <w:t>含一次性消耗用品费、检查仪器费、检测费、人工费</w:t>
      </w:r>
      <w:r>
        <w:rPr>
          <w:rFonts w:hint="eastAsia" w:ascii="仿宋" w:hAnsi="仿宋" w:eastAsia="仿宋" w:cs="仿宋"/>
          <w:color w:val="auto"/>
          <w:sz w:val="28"/>
          <w:szCs w:val="28"/>
          <w:lang w:eastAsia="zh-CN"/>
        </w:rPr>
        <w:t>等</w:t>
      </w:r>
      <w:r>
        <w:rPr>
          <w:rFonts w:hint="eastAsia" w:ascii="仿宋" w:hAnsi="仿宋" w:eastAsia="仿宋" w:cs="仿宋"/>
          <w:color w:val="auto"/>
          <w:sz w:val="28"/>
          <w:szCs w:val="28"/>
        </w:rPr>
        <w:t>），漏报或少报的费用，视此费用已包含在汇总价格、总价报价中。</w:t>
      </w:r>
      <w:r>
        <w:rPr>
          <w:rFonts w:hint="eastAsia" w:ascii="仿宋" w:hAnsi="仿宋" w:eastAsia="仿宋" w:cs="仿宋"/>
          <w:color w:val="auto"/>
          <w:sz w:val="28"/>
          <w:szCs w:val="28"/>
          <w:lang w:eastAsia="zh-CN"/>
        </w:rPr>
        <w:t>费用</w:t>
      </w:r>
      <w:r>
        <w:rPr>
          <w:rFonts w:hint="eastAsia" w:ascii="仿宋" w:hAnsi="仿宋" w:eastAsia="仿宋" w:cs="仿宋"/>
          <w:color w:val="auto"/>
          <w:sz w:val="28"/>
          <w:szCs w:val="28"/>
          <w:lang w:val="en-US" w:eastAsia="zh-CN"/>
        </w:rPr>
        <w:t>结算时，以实际参加人数为准。</w:t>
      </w:r>
    </w:p>
    <w:p>
      <w:pPr>
        <w:numPr>
          <w:ilvl w:val="0"/>
          <w:numId w:val="0"/>
        </w:numPr>
        <w:adjustRightInd w:val="0"/>
        <w:spacing w:line="360" w:lineRule="auto"/>
        <w:ind w:firstLine="280" w:firstLineChars="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3.体检验收：体检人员费用清单（体检完成后7个工作日内）及个人体检报告（体检完成后10个工作日内）。</w:t>
      </w:r>
    </w:p>
    <w:p>
      <w:pPr>
        <w:numPr>
          <w:ilvl w:val="0"/>
          <w:numId w:val="0"/>
        </w:numPr>
        <w:adjustRightInd w:val="0"/>
        <w:spacing w:line="360" w:lineRule="auto"/>
        <w:ind w:left="199" w:leftChars="95"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4.售后服务：为体检人员提供免费咨询、纸质和电子体检报告，对有需要复检的人员提供优惠服务。配合体检单</w:t>
      </w:r>
      <w:r>
        <w:rPr>
          <w:rFonts w:hint="eastAsia" w:ascii="仿宋" w:hAnsi="仿宋" w:eastAsia="仿宋" w:cs="仿宋"/>
          <w:color w:val="000000"/>
          <w:sz w:val="28"/>
          <w:szCs w:val="28"/>
        </w:rPr>
        <w:t>位对个人体检中</w:t>
      </w:r>
      <w:bookmarkStart w:id="0" w:name="_GoBack"/>
      <w:bookmarkEnd w:id="0"/>
      <w:r>
        <w:rPr>
          <w:rFonts w:hint="eastAsia" w:ascii="仿宋" w:hAnsi="仿宋" w:eastAsia="仿宋" w:cs="仿宋"/>
          <w:color w:val="000000"/>
          <w:sz w:val="28"/>
          <w:szCs w:val="28"/>
        </w:rPr>
        <w:t>发现异常的进行跟踪及免费咨询。</w:t>
      </w:r>
    </w:p>
    <w:p>
      <w:pPr>
        <w:numPr>
          <w:ilvl w:val="0"/>
          <w:numId w:val="0"/>
        </w:numPr>
        <w:adjustRightInd w:val="0"/>
        <w:spacing w:line="360" w:lineRule="auto"/>
        <w:ind w:leftChars="-171"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中标人不得以任何方式转包或分包本项目</w:t>
      </w:r>
      <w:r>
        <w:rPr>
          <w:rFonts w:hint="eastAsia" w:ascii="仿宋" w:hAnsi="仿宋" w:eastAsia="仿宋" w:cs="仿宋"/>
          <w:color w:val="000000"/>
          <w:sz w:val="28"/>
          <w:szCs w:val="28"/>
          <w:lang w:eastAsia="zh-CN"/>
        </w:rPr>
        <w:t>。</w:t>
      </w:r>
    </w:p>
    <w:p>
      <w:pPr>
        <w:numPr>
          <w:ilvl w:val="0"/>
          <w:numId w:val="0"/>
        </w:numPr>
        <w:adjustRightInd w:val="0"/>
        <w:spacing w:line="360" w:lineRule="auto"/>
        <w:ind w:leftChars="-171"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6.评审、定标原则，本次评标采用综合评分法，按各报价人的商务技术、价格等各项因素作为评价的基础，综合评选推荐出中标候选人，并以交通便利者及售后服务承诺等最优者成为供应商。交通便利，</w:t>
      </w:r>
      <w:r>
        <w:rPr>
          <w:rFonts w:hint="eastAsia" w:ascii="仿宋" w:hAnsi="仿宋" w:eastAsia="仿宋" w:cs="仿宋"/>
          <w:color w:val="auto"/>
          <w:sz w:val="28"/>
          <w:szCs w:val="28"/>
          <w:vertAlign w:val="baseline"/>
        </w:rPr>
        <w:t>依据“百度地图”</w:t>
      </w:r>
      <w:r>
        <w:rPr>
          <w:rFonts w:hint="eastAsia" w:ascii="仿宋" w:hAnsi="仿宋" w:eastAsia="仿宋" w:cs="仿宋"/>
          <w:color w:val="auto"/>
          <w:sz w:val="28"/>
          <w:szCs w:val="28"/>
          <w:vertAlign w:val="baseline"/>
          <w:lang w:eastAsia="zh-CN"/>
        </w:rPr>
        <w:t>等软件</w:t>
      </w:r>
      <w:r>
        <w:rPr>
          <w:rFonts w:hint="eastAsia" w:ascii="仿宋" w:hAnsi="仿宋" w:eastAsia="仿宋" w:cs="仿宋"/>
          <w:color w:val="auto"/>
          <w:sz w:val="28"/>
          <w:szCs w:val="28"/>
          <w:vertAlign w:val="baseline"/>
        </w:rPr>
        <w:t>测算的报价人服务地点与采购人单位地点的最短公路距离为准,由投标人自行测算后附上测算的页面截图作为证明材料</w:t>
      </w:r>
      <w:r>
        <w:rPr>
          <w:rFonts w:hint="eastAsia" w:ascii="仿宋" w:hAnsi="仿宋" w:eastAsia="仿宋" w:cs="仿宋"/>
          <w:color w:val="auto"/>
          <w:sz w:val="28"/>
          <w:szCs w:val="28"/>
          <w:vertAlign w:val="baseline"/>
          <w:lang w:eastAsia="zh-CN"/>
        </w:rPr>
        <w:t>。</w:t>
      </w:r>
    </w:p>
    <w:p>
      <w:pPr>
        <w:adjustRightInd w:val="0"/>
        <w:spacing w:line="360" w:lineRule="auto"/>
        <w:ind w:left="359" w:hanging="361" w:hangingChars="171"/>
        <w:rPr>
          <w:rFonts w:hint="eastAsia" w:ascii="宋体" w:hAnsi="宋体"/>
          <w:szCs w:val="21"/>
        </w:rPr>
      </w:pPr>
      <w:r>
        <w:rPr>
          <w:rFonts w:hint="eastAsia" w:ascii="宋体" w:hAnsi="宋体" w:eastAsia="宋体" w:cs="宋体"/>
          <w:b/>
          <w:bCs/>
          <w:color w:val="000000"/>
          <w:szCs w:val="21"/>
          <w:lang w:eastAsia="zh-CN"/>
        </w:rPr>
        <w:br w:type="page"/>
      </w:r>
    </w:p>
    <w:p>
      <w:pPr>
        <w:numPr>
          <w:ilvl w:val="0"/>
          <w:numId w:val="0"/>
        </w:numPr>
        <w:spacing w:before="217" w:beforeLines="50" w:line="360" w:lineRule="auto"/>
        <w:ind w:leftChars="0"/>
        <w:jc w:val="left"/>
        <w:rPr>
          <w:rFonts w:hint="eastAsia" w:ascii="宋体" w:hAnsi="宋体"/>
          <w:b/>
          <w:bCs/>
          <w:sz w:val="28"/>
          <w:szCs w:val="28"/>
        </w:rPr>
      </w:pPr>
      <w:r>
        <w:rPr>
          <w:rFonts w:hint="eastAsia" w:ascii="宋体" w:hAnsi="宋体"/>
          <w:b/>
          <w:bCs/>
          <w:sz w:val="28"/>
          <w:szCs w:val="28"/>
          <w:lang w:eastAsia="zh-CN"/>
        </w:rPr>
        <w:t>二、</w:t>
      </w:r>
      <w:r>
        <w:rPr>
          <w:rFonts w:hint="eastAsia" w:ascii="宋体" w:hAnsi="宋体"/>
          <w:b/>
          <w:bCs/>
          <w:sz w:val="28"/>
          <w:szCs w:val="28"/>
        </w:rPr>
        <w:t>项目</w:t>
      </w:r>
      <w:r>
        <w:rPr>
          <w:rFonts w:hint="eastAsia" w:ascii="宋体" w:hAnsi="宋体"/>
          <w:b/>
          <w:bCs/>
          <w:sz w:val="28"/>
          <w:szCs w:val="28"/>
          <w:lang w:eastAsia="zh-CN"/>
        </w:rPr>
        <w:t>内容及</w:t>
      </w:r>
      <w:r>
        <w:rPr>
          <w:rFonts w:hint="eastAsia" w:ascii="宋体" w:hAnsi="宋体"/>
          <w:b/>
          <w:bCs/>
          <w:sz w:val="28"/>
          <w:szCs w:val="28"/>
        </w:rPr>
        <w:t>要求：</w:t>
      </w:r>
    </w:p>
    <w:tbl>
      <w:tblPr>
        <w:tblStyle w:val="3"/>
        <w:tblW w:w="10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77"/>
        <w:gridCol w:w="664"/>
        <w:gridCol w:w="4236"/>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top"/>
          </w:tcPr>
          <w:p>
            <w:pPr>
              <w:numPr>
                <w:ilvl w:val="0"/>
                <w:numId w:val="0"/>
              </w:numPr>
              <w:adjustRightInd w:val="0"/>
              <w:spacing w:line="360" w:lineRule="auto"/>
              <w:jc w:val="center"/>
              <w:rPr>
                <w:rFonts w:hint="eastAsia" w:ascii="宋体" w:hAnsi="宋体" w:eastAsia="宋体" w:cs="宋体"/>
                <w:b/>
                <w:bCs/>
                <w:color w:val="000000"/>
                <w:szCs w:val="21"/>
                <w:vertAlign w:val="baseline"/>
                <w:lang w:eastAsia="zh-CN"/>
              </w:rPr>
            </w:pPr>
            <w:r>
              <w:rPr>
                <w:rFonts w:hint="eastAsia" w:ascii="宋体" w:hAnsi="宋体" w:eastAsia="宋体" w:cs="宋体"/>
                <w:b/>
                <w:bCs/>
                <w:color w:val="000000"/>
                <w:szCs w:val="21"/>
                <w:vertAlign w:val="baseline"/>
                <w:lang w:eastAsia="zh-CN"/>
              </w:rPr>
              <w:t>序号</w:t>
            </w:r>
          </w:p>
        </w:tc>
        <w:tc>
          <w:tcPr>
            <w:tcW w:w="1877" w:type="dxa"/>
            <w:noWrap w:val="0"/>
            <w:vAlign w:val="top"/>
          </w:tcPr>
          <w:p>
            <w:pPr>
              <w:numPr>
                <w:ilvl w:val="0"/>
                <w:numId w:val="0"/>
              </w:numPr>
              <w:adjustRightInd w:val="0"/>
              <w:spacing w:line="360" w:lineRule="auto"/>
              <w:jc w:val="center"/>
              <w:rPr>
                <w:rFonts w:hint="eastAsia" w:ascii="宋体" w:hAnsi="宋体" w:eastAsia="宋体" w:cs="宋体"/>
                <w:b/>
                <w:bCs/>
                <w:color w:val="000000"/>
                <w:szCs w:val="21"/>
                <w:vertAlign w:val="baseline"/>
                <w:lang w:eastAsia="zh-CN"/>
              </w:rPr>
            </w:pPr>
            <w:r>
              <w:rPr>
                <w:rFonts w:hint="eastAsia" w:ascii="宋体" w:hAnsi="宋体" w:eastAsia="宋体" w:cs="宋体"/>
                <w:b/>
                <w:bCs/>
                <w:color w:val="000000"/>
                <w:szCs w:val="21"/>
                <w:vertAlign w:val="baseline"/>
                <w:lang w:eastAsia="zh-CN"/>
              </w:rPr>
              <w:t>内</w:t>
            </w:r>
            <w:r>
              <w:rPr>
                <w:rFonts w:hint="eastAsia" w:ascii="宋体" w:hAnsi="宋体" w:eastAsia="宋体" w:cs="宋体"/>
                <w:b/>
                <w:bCs/>
                <w:color w:val="000000"/>
                <w:szCs w:val="21"/>
                <w:vertAlign w:val="baseline"/>
                <w:lang w:val="en-US" w:eastAsia="zh-CN"/>
              </w:rPr>
              <w:t xml:space="preserve">    </w:t>
            </w:r>
            <w:r>
              <w:rPr>
                <w:rFonts w:hint="eastAsia" w:ascii="宋体" w:hAnsi="宋体" w:eastAsia="宋体" w:cs="宋体"/>
                <w:b/>
                <w:bCs/>
                <w:color w:val="000000"/>
                <w:szCs w:val="21"/>
                <w:vertAlign w:val="baseline"/>
                <w:lang w:eastAsia="zh-CN"/>
              </w:rPr>
              <w:t>容</w:t>
            </w:r>
          </w:p>
        </w:tc>
        <w:tc>
          <w:tcPr>
            <w:tcW w:w="664" w:type="dxa"/>
            <w:noWrap w:val="0"/>
            <w:vAlign w:val="top"/>
          </w:tcPr>
          <w:p>
            <w:pPr>
              <w:numPr>
                <w:ilvl w:val="0"/>
                <w:numId w:val="0"/>
              </w:numPr>
              <w:adjustRightInd w:val="0"/>
              <w:spacing w:line="360" w:lineRule="auto"/>
              <w:jc w:val="center"/>
              <w:rPr>
                <w:rFonts w:hint="eastAsia" w:ascii="宋体" w:hAnsi="宋体" w:eastAsia="宋体" w:cs="宋体"/>
                <w:b/>
                <w:bCs/>
                <w:color w:val="000000"/>
                <w:szCs w:val="21"/>
                <w:vertAlign w:val="baseline"/>
                <w:lang w:eastAsia="zh-CN"/>
              </w:rPr>
            </w:pPr>
            <w:r>
              <w:rPr>
                <w:rFonts w:hint="eastAsia" w:ascii="宋体" w:hAnsi="宋体" w:eastAsia="宋体" w:cs="宋体"/>
                <w:b/>
                <w:bCs/>
                <w:color w:val="000000"/>
                <w:szCs w:val="21"/>
                <w:vertAlign w:val="baseline"/>
                <w:lang w:eastAsia="zh-CN"/>
              </w:rPr>
              <w:t>人数</w:t>
            </w:r>
          </w:p>
        </w:tc>
        <w:tc>
          <w:tcPr>
            <w:tcW w:w="4236" w:type="dxa"/>
            <w:noWrap w:val="0"/>
            <w:vAlign w:val="top"/>
          </w:tcPr>
          <w:p>
            <w:pPr>
              <w:numPr>
                <w:ilvl w:val="0"/>
                <w:numId w:val="0"/>
              </w:numPr>
              <w:adjustRightInd w:val="0"/>
              <w:spacing w:line="360" w:lineRule="auto"/>
              <w:jc w:val="center"/>
              <w:rPr>
                <w:rFonts w:hint="eastAsia" w:ascii="宋体" w:hAnsi="宋体" w:eastAsia="宋体" w:cs="宋体"/>
                <w:b/>
                <w:bCs/>
                <w:color w:val="000000"/>
                <w:szCs w:val="21"/>
                <w:vertAlign w:val="baseline"/>
                <w:lang w:eastAsia="zh-CN"/>
              </w:rPr>
            </w:pPr>
            <w:r>
              <w:rPr>
                <w:rFonts w:hint="eastAsia" w:ascii="宋体" w:hAnsi="宋体" w:eastAsia="宋体" w:cs="宋体"/>
                <w:b/>
                <w:bCs/>
                <w:color w:val="000000"/>
                <w:szCs w:val="21"/>
                <w:vertAlign w:val="baseline"/>
                <w:lang w:eastAsia="zh-CN"/>
              </w:rPr>
              <w:t>项目标准及要求</w:t>
            </w:r>
          </w:p>
        </w:tc>
        <w:tc>
          <w:tcPr>
            <w:tcW w:w="2546" w:type="dxa"/>
            <w:noWrap w:val="0"/>
            <w:vAlign w:val="top"/>
          </w:tcPr>
          <w:p>
            <w:pPr>
              <w:numPr>
                <w:ilvl w:val="0"/>
                <w:numId w:val="0"/>
              </w:numPr>
              <w:adjustRightInd w:val="0"/>
              <w:spacing w:line="360" w:lineRule="auto"/>
              <w:jc w:val="center"/>
              <w:rPr>
                <w:rFonts w:hint="eastAsia" w:ascii="宋体" w:hAnsi="宋体" w:eastAsia="宋体" w:cs="宋体"/>
                <w:b/>
                <w:bCs/>
                <w:color w:val="000000"/>
                <w:szCs w:val="21"/>
                <w:vertAlign w:val="baseline"/>
                <w:lang w:eastAsia="zh-CN"/>
              </w:rPr>
            </w:pPr>
            <w:r>
              <w:rPr>
                <w:rFonts w:hint="eastAsia" w:ascii="宋体" w:hAnsi="宋体" w:eastAsia="宋体" w:cs="宋体"/>
                <w:b/>
                <w:bCs/>
                <w:color w:val="000000"/>
                <w:szCs w:val="21"/>
                <w:vertAlign w:val="baseline"/>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729" w:type="dxa"/>
            <w:noWrap w:val="0"/>
            <w:vAlign w:val="top"/>
          </w:tcPr>
          <w:p>
            <w:pPr>
              <w:numPr>
                <w:ilvl w:val="0"/>
                <w:numId w:val="0"/>
              </w:numPr>
              <w:adjustRightInd w:val="0"/>
              <w:spacing w:line="360" w:lineRule="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877" w:type="dxa"/>
            <w:noWrap w:val="0"/>
            <w:vAlign w:val="top"/>
          </w:tcPr>
          <w:p>
            <w:pPr>
              <w:numPr>
                <w:ilvl w:val="0"/>
                <w:numId w:val="0"/>
              </w:numPr>
              <w:adjustRightInd w:val="0"/>
              <w:spacing w:line="36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男</w:t>
            </w:r>
            <w:r>
              <w:rPr>
                <w:rFonts w:hint="eastAsia" w:ascii="宋体" w:hAnsi="宋体"/>
                <w:color w:val="auto"/>
                <w:lang w:val="en-US" w:eastAsia="zh-CN"/>
              </w:rPr>
              <w:t>离退休人员</w:t>
            </w:r>
            <w:r>
              <w:rPr>
                <w:rFonts w:hint="eastAsia" w:ascii="宋体" w:hAnsi="宋体"/>
                <w:color w:val="auto"/>
              </w:rPr>
              <w:t>体检</w:t>
            </w:r>
          </w:p>
        </w:tc>
        <w:tc>
          <w:tcPr>
            <w:tcW w:w="664" w:type="dxa"/>
            <w:noWrap w:val="0"/>
            <w:vAlign w:val="top"/>
          </w:tcPr>
          <w:p>
            <w:pPr>
              <w:numPr>
                <w:ilvl w:val="0"/>
                <w:numId w:val="0"/>
              </w:numPr>
              <w:adjustRightInd w:val="0"/>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42</w:t>
            </w:r>
          </w:p>
        </w:tc>
        <w:tc>
          <w:tcPr>
            <w:tcW w:w="4236" w:type="dxa"/>
            <w:noWrap w:val="0"/>
            <w:vAlign w:val="top"/>
          </w:tcPr>
          <w:p>
            <w:pPr>
              <w:numPr>
                <w:ilvl w:val="0"/>
                <w:numId w:val="0"/>
              </w:numPr>
              <w:adjustRightInd w:val="0"/>
              <w:spacing w:line="360" w:lineRule="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eastAsia="zh-CN"/>
              </w:rPr>
              <w:t>体检标准不超</w:t>
            </w:r>
            <w:r>
              <w:rPr>
                <w:rFonts w:hint="eastAsia" w:ascii="宋体" w:hAnsi="宋体" w:eastAsia="宋体" w:cs="宋体"/>
                <w:b w:val="0"/>
                <w:bCs w:val="0"/>
                <w:color w:val="auto"/>
                <w:sz w:val="21"/>
                <w:szCs w:val="21"/>
                <w:vertAlign w:val="baseline"/>
                <w:lang w:val="en-US" w:eastAsia="zh-CN"/>
              </w:rPr>
              <w:t>1288.10元/人，</w:t>
            </w:r>
            <w:r>
              <w:rPr>
                <w:rFonts w:hint="eastAsia" w:ascii="宋体" w:hAnsi="宋体" w:eastAsia="宋体" w:cs="宋体"/>
                <w:b w:val="0"/>
                <w:bCs w:val="0"/>
                <w:color w:val="auto"/>
                <w:sz w:val="21"/>
                <w:szCs w:val="21"/>
                <w:lang w:eastAsia="zh-CN"/>
              </w:rPr>
              <w:t>按指定检查项目体检（详见</w:t>
            </w:r>
            <w:r>
              <w:rPr>
                <w:rFonts w:hint="eastAsia" w:ascii="宋体" w:hAnsi="宋体" w:eastAsia="宋体" w:cs="宋体"/>
                <w:b w:val="0"/>
                <w:bCs w:val="0"/>
                <w:color w:val="auto"/>
                <w:sz w:val="21"/>
                <w:szCs w:val="21"/>
              </w:rPr>
              <w:t>体检项目</w:t>
            </w:r>
            <w:r>
              <w:rPr>
                <w:rFonts w:hint="eastAsia" w:ascii="宋体" w:hAnsi="宋体" w:eastAsia="宋体" w:cs="宋体"/>
                <w:b w:val="0"/>
                <w:bCs w:val="0"/>
                <w:color w:val="auto"/>
                <w:sz w:val="21"/>
                <w:szCs w:val="21"/>
                <w:lang w:eastAsia="zh-CN"/>
              </w:rPr>
              <w:t>及意义）；</w:t>
            </w:r>
          </w:p>
        </w:tc>
        <w:tc>
          <w:tcPr>
            <w:tcW w:w="2546" w:type="dxa"/>
            <w:noWrap w:val="0"/>
            <w:vAlign w:val="top"/>
          </w:tcPr>
          <w:p>
            <w:pPr>
              <w:numPr>
                <w:ilvl w:val="0"/>
                <w:numId w:val="0"/>
              </w:numPr>
              <w:adjustRightInd w:val="0"/>
              <w:spacing w:line="360" w:lineRule="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2020年11月30日前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729" w:type="dxa"/>
            <w:noWrap w:val="0"/>
            <w:vAlign w:val="top"/>
          </w:tcPr>
          <w:p>
            <w:pPr>
              <w:numPr>
                <w:ilvl w:val="0"/>
                <w:numId w:val="0"/>
              </w:numPr>
              <w:adjustRightInd w:val="0"/>
              <w:spacing w:line="360" w:lineRule="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1877" w:type="dxa"/>
            <w:noWrap w:val="0"/>
            <w:vAlign w:val="top"/>
          </w:tcPr>
          <w:p>
            <w:pPr>
              <w:numPr>
                <w:ilvl w:val="0"/>
                <w:numId w:val="0"/>
              </w:numPr>
              <w:adjustRightInd w:val="0"/>
              <w:spacing w:line="360" w:lineRule="auto"/>
              <w:ind w:left="0" w:leftChars="0" w:firstLine="0" w:firstLineChars="0"/>
              <w:rPr>
                <w:rFonts w:hint="eastAsia" w:ascii="宋体" w:hAnsi="宋体" w:eastAsia="宋体" w:cs="宋体"/>
                <w:color w:val="auto"/>
                <w:sz w:val="21"/>
                <w:szCs w:val="21"/>
                <w:vertAlign w:val="baseline"/>
                <w:lang w:eastAsia="zh-CN"/>
              </w:rPr>
            </w:pPr>
            <w:r>
              <w:rPr>
                <w:rFonts w:hint="eastAsia" w:ascii="宋体" w:hAnsi="宋体"/>
                <w:color w:val="auto"/>
                <w:lang w:val="en-US" w:eastAsia="zh-CN"/>
              </w:rPr>
              <w:t>女离退休人员</w:t>
            </w:r>
            <w:r>
              <w:rPr>
                <w:rFonts w:hint="eastAsia" w:ascii="宋体" w:hAnsi="宋体"/>
                <w:color w:val="auto"/>
              </w:rPr>
              <w:t>体检</w:t>
            </w:r>
          </w:p>
        </w:tc>
        <w:tc>
          <w:tcPr>
            <w:tcW w:w="664" w:type="dxa"/>
            <w:noWrap w:val="0"/>
            <w:vAlign w:val="top"/>
          </w:tcPr>
          <w:p>
            <w:pPr>
              <w:numPr>
                <w:ilvl w:val="0"/>
                <w:numId w:val="0"/>
              </w:numPr>
              <w:adjustRightInd w:val="0"/>
              <w:spacing w:line="360" w:lineRule="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48</w:t>
            </w:r>
          </w:p>
        </w:tc>
        <w:tc>
          <w:tcPr>
            <w:tcW w:w="4236" w:type="dxa"/>
            <w:noWrap w:val="0"/>
            <w:vAlign w:val="top"/>
          </w:tcPr>
          <w:p>
            <w:pPr>
              <w:numPr>
                <w:ilvl w:val="0"/>
                <w:numId w:val="0"/>
              </w:numPr>
              <w:adjustRightIn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vertAlign w:val="baseline"/>
                <w:lang w:val="en-US" w:eastAsia="zh-CN"/>
              </w:rPr>
              <w:t>体检标准不超1743.90元/人，</w:t>
            </w:r>
            <w:r>
              <w:rPr>
                <w:rFonts w:hint="eastAsia" w:ascii="宋体" w:hAnsi="宋体" w:eastAsia="宋体" w:cs="宋体"/>
                <w:b w:val="0"/>
                <w:bCs w:val="0"/>
                <w:color w:val="auto"/>
                <w:sz w:val="21"/>
                <w:szCs w:val="21"/>
                <w:lang w:eastAsia="zh-CN"/>
              </w:rPr>
              <w:t>按指定检查项目体检（详见</w:t>
            </w:r>
            <w:r>
              <w:rPr>
                <w:rFonts w:hint="eastAsia" w:ascii="宋体" w:hAnsi="宋体" w:eastAsia="宋体" w:cs="宋体"/>
                <w:b w:val="0"/>
                <w:bCs w:val="0"/>
                <w:color w:val="auto"/>
                <w:sz w:val="21"/>
                <w:szCs w:val="21"/>
              </w:rPr>
              <w:t>体检项目</w:t>
            </w:r>
            <w:r>
              <w:rPr>
                <w:rFonts w:hint="eastAsia" w:ascii="宋体" w:hAnsi="宋体" w:eastAsia="宋体" w:cs="宋体"/>
                <w:b w:val="0"/>
                <w:bCs w:val="0"/>
                <w:color w:val="auto"/>
                <w:sz w:val="21"/>
                <w:szCs w:val="21"/>
                <w:lang w:eastAsia="zh-CN"/>
              </w:rPr>
              <w:t>及意义）</w:t>
            </w:r>
            <w:r>
              <w:rPr>
                <w:rFonts w:hint="eastAsia" w:ascii="宋体" w:hAnsi="宋体" w:cs="宋体"/>
                <w:b w:val="0"/>
                <w:bCs w:val="0"/>
                <w:color w:val="auto"/>
                <w:sz w:val="21"/>
                <w:szCs w:val="21"/>
                <w:lang w:eastAsia="zh-CN"/>
              </w:rPr>
              <w:t>；</w:t>
            </w:r>
          </w:p>
        </w:tc>
        <w:tc>
          <w:tcPr>
            <w:tcW w:w="2546" w:type="dxa"/>
            <w:noWrap w:val="0"/>
            <w:vAlign w:val="top"/>
          </w:tcPr>
          <w:p>
            <w:pPr>
              <w:numPr>
                <w:ilvl w:val="0"/>
                <w:numId w:val="0"/>
              </w:numPr>
              <w:adjustRightInd w:val="0"/>
              <w:spacing w:line="360" w:lineRule="auto"/>
              <w:rPr>
                <w:rFonts w:hint="eastAsia" w:ascii="宋体" w:hAnsi="宋体" w:eastAsia="宋体" w:cs="宋体"/>
                <w:color w:val="000000"/>
                <w:sz w:val="21"/>
                <w:szCs w:val="21"/>
                <w:vertAlign w:val="baseline"/>
              </w:rPr>
            </w:pPr>
            <w:r>
              <w:rPr>
                <w:rFonts w:hint="eastAsia" w:ascii="宋体" w:hAnsi="宋体" w:eastAsia="宋体" w:cs="宋体"/>
                <w:color w:val="000000"/>
                <w:sz w:val="21"/>
                <w:szCs w:val="21"/>
                <w:vertAlign w:val="baseline"/>
                <w:lang w:val="en-US" w:eastAsia="zh-CN"/>
              </w:rPr>
              <w:t>2020年11月30日前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29" w:type="dxa"/>
            <w:noWrap w:val="0"/>
            <w:vAlign w:val="top"/>
          </w:tcPr>
          <w:p>
            <w:pPr>
              <w:numPr>
                <w:ilvl w:val="0"/>
                <w:numId w:val="0"/>
              </w:numPr>
              <w:adjustRightInd w:val="0"/>
              <w:spacing w:line="360" w:lineRule="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1877" w:type="dxa"/>
            <w:noWrap w:val="0"/>
            <w:vAlign w:val="top"/>
          </w:tcPr>
          <w:p>
            <w:pPr>
              <w:numPr>
                <w:ilvl w:val="0"/>
                <w:numId w:val="0"/>
              </w:numPr>
              <w:adjustRightInd w:val="0"/>
              <w:spacing w:line="36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男编外人员体检</w:t>
            </w:r>
          </w:p>
        </w:tc>
        <w:tc>
          <w:tcPr>
            <w:tcW w:w="664" w:type="dxa"/>
            <w:noWrap w:val="0"/>
            <w:vAlign w:val="top"/>
          </w:tcPr>
          <w:p>
            <w:pPr>
              <w:numPr>
                <w:ilvl w:val="0"/>
                <w:numId w:val="0"/>
              </w:numPr>
              <w:adjustRightInd w:val="0"/>
              <w:spacing w:line="360" w:lineRule="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4236" w:type="dxa"/>
            <w:noWrap w:val="0"/>
            <w:vAlign w:val="top"/>
          </w:tcPr>
          <w:p>
            <w:pPr>
              <w:numPr>
                <w:ilvl w:val="0"/>
                <w:numId w:val="0"/>
              </w:numPr>
              <w:adjustRightInd w:val="0"/>
              <w:spacing w:line="360" w:lineRule="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eastAsia="zh-CN"/>
              </w:rPr>
              <w:t>体检标准</w:t>
            </w:r>
            <w:r>
              <w:rPr>
                <w:rFonts w:hint="eastAsia" w:ascii="宋体" w:hAnsi="宋体" w:eastAsia="宋体" w:cs="宋体"/>
                <w:b w:val="0"/>
                <w:bCs w:val="0"/>
                <w:color w:val="auto"/>
                <w:sz w:val="21"/>
                <w:szCs w:val="21"/>
                <w:vertAlign w:val="baseline"/>
                <w:lang w:val="en-US" w:eastAsia="zh-CN"/>
              </w:rPr>
              <w:t>不超864.20元/人，</w:t>
            </w:r>
            <w:r>
              <w:rPr>
                <w:rFonts w:hint="eastAsia" w:ascii="宋体" w:hAnsi="宋体" w:eastAsia="宋体" w:cs="宋体"/>
                <w:b w:val="0"/>
                <w:bCs w:val="0"/>
                <w:color w:val="auto"/>
                <w:sz w:val="21"/>
                <w:szCs w:val="21"/>
                <w:lang w:eastAsia="zh-CN"/>
              </w:rPr>
              <w:t>按指定检查项目体检（详见</w:t>
            </w:r>
            <w:r>
              <w:rPr>
                <w:rFonts w:hint="eastAsia" w:ascii="宋体" w:hAnsi="宋体" w:eastAsia="宋体" w:cs="宋体"/>
                <w:b w:val="0"/>
                <w:bCs w:val="0"/>
                <w:color w:val="auto"/>
                <w:sz w:val="21"/>
                <w:szCs w:val="21"/>
              </w:rPr>
              <w:t>体检项目</w:t>
            </w:r>
            <w:r>
              <w:rPr>
                <w:rFonts w:hint="eastAsia" w:ascii="宋体" w:hAnsi="宋体" w:eastAsia="宋体" w:cs="宋体"/>
                <w:b w:val="0"/>
                <w:bCs w:val="0"/>
                <w:color w:val="auto"/>
                <w:sz w:val="21"/>
                <w:szCs w:val="21"/>
                <w:lang w:eastAsia="zh-CN"/>
              </w:rPr>
              <w:t>及意义）；</w:t>
            </w:r>
          </w:p>
        </w:tc>
        <w:tc>
          <w:tcPr>
            <w:tcW w:w="2546" w:type="dxa"/>
            <w:noWrap w:val="0"/>
            <w:vAlign w:val="top"/>
          </w:tcPr>
          <w:p>
            <w:pPr>
              <w:numPr>
                <w:ilvl w:val="0"/>
                <w:numId w:val="0"/>
              </w:numPr>
              <w:adjustRightInd w:val="0"/>
              <w:spacing w:line="360" w:lineRule="auto"/>
              <w:rPr>
                <w:rFonts w:hint="eastAsia" w:ascii="宋体" w:hAnsi="宋体" w:eastAsia="宋体" w:cs="宋体"/>
                <w:color w:val="000000"/>
                <w:sz w:val="21"/>
                <w:szCs w:val="21"/>
                <w:vertAlign w:val="baseline"/>
              </w:rPr>
            </w:pPr>
            <w:r>
              <w:rPr>
                <w:rFonts w:hint="eastAsia" w:ascii="宋体" w:hAnsi="宋体" w:eastAsia="宋体" w:cs="宋体"/>
                <w:color w:val="000000"/>
                <w:sz w:val="21"/>
                <w:szCs w:val="21"/>
                <w:vertAlign w:val="baseline"/>
                <w:lang w:val="en-US" w:eastAsia="zh-CN"/>
              </w:rPr>
              <w:t>2020年11月30日前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top"/>
          </w:tcPr>
          <w:p>
            <w:pPr>
              <w:numPr>
                <w:ilvl w:val="0"/>
                <w:numId w:val="0"/>
              </w:numPr>
              <w:adjustRightInd w:val="0"/>
              <w:spacing w:line="360" w:lineRule="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1877" w:type="dxa"/>
            <w:noWrap w:val="0"/>
            <w:vAlign w:val="top"/>
          </w:tcPr>
          <w:p>
            <w:pPr>
              <w:numPr>
                <w:ilvl w:val="0"/>
                <w:numId w:val="0"/>
              </w:numPr>
              <w:adjustRightInd w:val="0"/>
              <w:spacing w:line="36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已婚女编外人员体检</w:t>
            </w:r>
          </w:p>
        </w:tc>
        <w:tc>
          <w:tcPr>
            <w:tcW w:w="664" w:type="dxa"/>
            <w:noWrap w:val="0"/>
            <w:vAlign w:val="top"/>
          </w:tcPr>
          <w:p>
            <w:pPr>
              <w:numPr>
                <w:ilvl w:val="0"/>
                <w:numId w:val="0"/>
              </w:numPr>
              <w:adjustRightInd w:val="0"/>
              <w:spacing w:line="360" w:lineRule="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25</w:t>
            </w:r>
          </w:p>
        </w:tc>
        <w:tc>
          <w:tcPr>
            <w:tcW w:w="4236" w:type="dxa"/>
            <w:noWrap w:val="0"/>
            <w:vAlign w:val="top"/>
          </w:tcPr>
          <w:p>
            <w:pPr>
              <w:numPr>
                <w:ilvl w:val="0"/>
                <w:numId w:val="0"/>
              </w:numPr>
              <w:adjustRightInd w:val="0"/>
              <w:spacing w:line="360" w:lineRule="auto"/>
              <w:rPr>
                <w:rFonts w:hint="eastAsia" w:ascii="宋体" w:hAnsi="宋体" w:eastAsia="宋体" w:cs="宋体"/>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体检标准</w:t>
            </w:r>
            <w:r>
              <w:rPr>
                <w:rFonts w:hint="eastAsia" w:ascii="宋体" w:hAnsi="宋体" w:eastAsia="宋体" w:cs="宋体"/>
                <w:b w:val="0"/>
                <w:bCs w:val="0"/>
                <w:color w:val="auto"/>
                <w:sz w:val="21"/>
                <w:szCs w:val="21"/>
                <w:vertAlign w:val="baseline"/>
                <w:lang w:val="en-US" w:eastAsia="zh-CN"/>
              </w:rPr>
              <w:t>不超1097.60元/人，</w:t>
            </w:r>
            <w:r>
              <w:rPr>
                <w:rFonts w:hint="eastAsia" w:ascii="宋体" w:hAnsi="宋体" w:eastAsia="宋体" w:cs="宋体"/>
                <w:b w:val="0"/>
                <w:bCs w:val="0"/>
                <w:color w:val="auto"/>
                <w:sz w:val="21"/>
                <w:szCs w:val="21"/>
                <w:lang w:eastAsia="zh-CN"/>
              </w:rPr>
              <w:t>按指定检查项目体检（详见</w:t>
            </w:r>
            <w:r>
              <w:rPr>
                <w:rFonts w:hint="eastAsia" w:ascii="宋体" w:hAnsi="宋体" w:eastAsia="宋体" w:cs="宋体"/>
                <w:b w:val="0"/>
                <w:bCs w:val="0"/>
                <w:color w:val="auto"/>
                <w:sz w:val="21"/>
                <w:szCs w:val="21"/>
              </w:rPr>
              <w:t>体检项目</w:t>
            </w:r>
            <w:r>
              <w:rPr>
                <w:rFonts w:hint="eastAsia" w:ascii="宋体" w:hAnsi="宋体" w:eastAsia="宋体" w:cs="宋体"/>
                <w:b w:val="0"/>
                <w:bCs w:val="0"/>
                <w:color w:val="auto"/>
                <w:sz w:val="21"/>
                <w:szCs w:val="21"/>
                <w:lang w:eastAsia="zh-CN"/>
              </w:rPr>
              <w:t>及意义）；</w:t>
            </w:r>
          </w:p>
        </w:tc>
        <w:tc>
          <w:tcPr>
            <w:tcW w:w="2546" w:type="dxa"/>
            <w:noWrap w:val="0"/>
            <w:vAlign w:val="top"/>
          </w:tcPr>
          <w:p>
            <w:pPr>
              <w:numPr>
                <w:ilvl w:val="0"/>
                <w:numId w:val="0"/>
              </w:numPr>
              <w:adjustRightInd w:val="0"/>
              <w:spacing w:line="360" w:lineRule="auto"/>
              <w:rPr>
                <w:rFonts w:hint="eastAsia" w:ascii="宋体" w:hAnsi="宋体" w:eastAsia="宋体" w:cs="宋体"/>
                <w:color w:val="000000"/>
                <w:sz w:val="21"/>
                <w:szCs w:val="21"/>
                <w:vertAlign w:val="baseline"/>
              </w:rPr>
            </w:pPr>
            <w:r>
              <w:rPr>
                <w:rFonts w:hint="eastAsia" w:ascii="宋体" w:hAnsi="宋体" w:eastAsia="宋体" w:cs="宋体"/>
                <w:color w:val="000000"/>
                <w:sz w:val="21"/>
                <w:szCs w:val="21"/>
                <w:vertAlign w:val="baseline"/>
                <w:lang w:val="en-US" w:eastAsia="zh-CN"/>
              </w:rPr>
              <w:t>2020年11月30日前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top"/>
          </w:tcPr>
          <w:p>
            <w:pPr>
              <w:numPr>
                <w:ilvl w:val="0"/>
                <w:numId w:val="0"/>
              </w:numPr>
              <w:adjustRightInd w:val="0"/>
              <w:spacing w:line="360" w:lineRule="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1877" w:type="dxa"/>
            <w:noWrap w:val="0"/>
            <w:vAlign w:val="top"/>
          </w:tcPr>
          <w:p>
            <w:pPr>
              <w:numPr>
                <w:ilvl w:val="0"/>
                <w:numId w:val="0"/>
              </w:numPr>
              <w:adjustRightInd w:val="0"/>
              <w:spacing w:line="360" w:lineRule="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未婚女</w:t>
            </w:r>
            <w:r>
              <w:rPr>
                <w:rFonts w:hint="eastAsia" w:ascii="宋体" w:hAnsi="宋体" w:eastAsia="宋体" w:cs="宋体"/>
                <w:color w:val="auto"/>
                <w:sz w:val="21"/>
                <w:szCs w:val="21"/>
                <w:vertAlign w:val="baseline"/>
                <w:lang w:eastAsia="zh-CN"/>
              </w:rPr>
              <w:t>编外人员体检</w:t>
            </w:r>
          </w:p>
        </w:tc>
        <w:tc>
          <w:tcPr>
            <w:tcW w:w="664" w:type="dxa"/>
            <w:noWrap w:val="0"/>
            <w:vAlign w:val="top"/>
          </w:tcPr>
          <w:p>
            <w:pPr>
              <w:numPr>
                <w:ilvl w:val="0"/>
                <w:numId w:val="0"/>
              </w:numPr>
              <w:adjustRightInd w:val="0"/>
              <w:spacing w:line="360" w:lineRule="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4236" w:type="dxa"/>
            <w:noWrap w:val="0"/>
            <w:vAlign w:val="top"/>
          </w:tcPr>
          <w:p>
            <w:pPr>
              <w:numPr>
                <w:ilvl w:val="0"/>
                <w:numId w:val="0"/>
              </w:numPr>
              <w:adjustRightInd w:val="0"/>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vertAlign w:val="baseline"/>
                <w:lang w:eastAsia="zh-CN"/>
              </w:rPr>
              <w:t>体检标准</w:t>
            </w:r>
            <w:r>
              <w:rPr>
                <w:rFonts w:hint="eastAsia" w:ascii="宋体" w:hAnsi="宋体" w:eastAsia="宋体" w:cs="宋体"/>
                <w:b w:val="0"/>
                <w:bCs w:val="0"/>
                <w:color w:val="auto"/>
                <w:sz w:val="21"/>
                <w:szCs w:val="21"/>
                <w:vertAlign w:val="baseline"/>
                <w:lang w:val="en-US" w:eastAsia="zh-CN"/>
              </w:rPr>
              <w:t>不超942.20元/人，</w:t>
            </w:r>
            <w:r>
              <w:rPr>
                <w:rFonts w:hint="eastAsia" w:ascii="宋体" w:hAnsi="宋体" w:eastAsia="宋体" w:cs="宋体"/>
                <w:b w:val="0"/>
                <w:bCs w:val="0"/>
                <w:color w:val="auto"/>
                <w:sz w:val="21"/>
                <w:szCs w:val="21"/>
                <w:lang w:eastAsia="zh-CN"/>
              </w:rPr>
              <w:t>按指定检查项目体检（详见</w:t>
            </w:r>
            <w:r>
              <w:rPr>
                <w:rFonts w:hint="eastAsia" w:ascii="宋体" w:hAnsi="宋体" w:eastAsia="宋体" w:cs="宋体"/>
                <w:b w:val="0"/>
                <w:bCs w:val="0"/>
                <w:color w:val="auto"/>
                <w:sz w:val="21"/>
                <w:szCs w:val="21"/>
              </w:rPr>
              <w:t>体检项目</w:t>
            </w:r>
            <w:r>
              <w:rPr>
                <w:rFonts w:hint="eastAsia" w:ascii="宋体" w:hAnsi="宋体" w:eastAsia="宋体" w:cs="宋体"/>
                <w:b w:val="0"/>
                <w:bCs w:val="0"/>
                <w:color w:val="auto"/>
                <w:sz w:val="21"/>
                <w:szCs w:val="21"/>
                <w:lang w:eastAsia="zh-CN"/>
              </w:rPr>
              <w:t>及意义）；</w:t>
            </w:r>
          </w:p>
        </w:tc>
        <w:tc>
          <w:tcPr>
            <w:tcW w:w="2546" w:type="dxa"/>
            <w:noWrap w:val="0"/>
            <w:vAlign w:val="top"/>
          </w:tcPr>
          <w:p>
            <w:pPr>
              <w:numPr>
                <w:ilvl w:val="0"/>
                <w:numId w:val="0"/>
              </w:numPr>
              <w:adjustRightInd w:val="0"/>
              <w:spacing w:line="360" w:lineRule="auto"/>
              <w:rPr>
                <w:rFonts w:hint="eastAsia" w:ascii="宋体" w:hAnsi="宋体" w:eastAsia="宋体" w:cs="宋体"/>
                <w:color w:val="000000"/>
                <w:sz w:val="21"/>
                <w:szCs w:val="21"/>
                <w:vertAlign w:val="baseline"/>
              </w:rPr>
            </w:pPr>
            <w:r>
              <w:rPr>
                <w:rFonts w:hint="eastAsia" w:ascii="宋体" w:hAnsi="宋体" w:eastAsia="宋体" w:cs="宋体"/>
                <w:color w:val="000000"/>
                <w:sz w:val="21"/>
                <w:szCs w:val="21"/>
                <w:vertAlign w:val="baseline"/>
                <w:lang w:val="en-US" w:eastAsia="zh-CN"/>
              </w:rPr>
              <w:t>2020年11月30日前</w:t>
            </w:r>
          </w:p>
        </w:tc>
      </w:tr>
    </w:tbl>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宋体" w:hAnsi="宋体"/>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宋体" w:hAnsi="宋体"/>
          <w:lang w:eastAsia="zh-CN"/>
        </w:rPr>
      </w:pPr>
    </w:p>
    <w:p>
      <w:pPr>
        <w:spacing w:line="360" w:lineRule="auto"/>
        <w:ind w:left="309" w:hanging="411" w:hangingChars="147"/>
        <w:rPr>
          <w:rFonts w:hint="eastAsia" w:ascii="宋体" w:hAnsi="宋体"/>
          <w:sz w:val="28"/>
          <w:szCs w:val="28"/>
          <w:lang w:eastAsia="zh-CN"/>
        </w:rPr>
      </w:pPr>
      <w:r>
        <w:rPr>
          <w:rFonts w:hint="eastAsia" w:ascii="宋体" w:hAnsi="宋体"/>
          <w:sz w:val="28"/>
          <w:szCs w:val="28"/>
          <w:lang w:eastAsia="zh-CN"/>
        </w:rPr>
        <w:t>三</w:t>
      </w:r>
      <w:r>
        <w:rPr>
          <w:rFonts w:hint="eastAsia" w:ascii="宋体" w:hAnsi="宋体"/>
          <w:b/>
          <w:bCs/>
          <w:sz w:val="28"/>
          <w:szCs w:val="28"/>
          <w:lang w:eastAsia="zh-CN"/>
        </w:rPr>
        <w:t>、体检项目及意义：</w:t>
      </w:r>
    </w:p>
    <w:p>
      <w:pPr>
        <w:spacing w:line="360" w:lineRule="auto"/>
        <w:ind w:left="309" w:hanging="308" w:hangingChars="147"/>
        <w:rPr>
          <w:rFonts w:hint="eastAsia" w:ascii="宋体" w:hAnsi="宋体" w:eastAsia="宋体"/>
          <w:color w:val="auto"/>
          <w:lang w:eastAsia="zh-CN"/>
        </w:rPr>
      </w:pPr>
      <w:r>
        <w:rPr>
          <w:rFonts w:hint="eastAsia" w:ascii="宋体" w:hAnsi="宋体"/>
          <w:color w:val="auto"/>
          <w:lang w:val="en-US" w:eastAsia="zh-CN"/>
        </w:rPr>
        <w:t>1. 离退休人员</w:t>
      </w:r>
      <w:r>
        <w:rPr>
          <w:rFonts w:hint="eastAsia" w:ascii="宋体" w:hAnsi="宋体"/>
          <w:color w:val="auto"/>
        </w:rPr>
        <w:t>体检项目</w:t>
      </w:r>
      <w:r>
        <w:rPr>
          <w:rFonts w:hint="eastAsia" w:ascii="宋体" w:hAnsi="宋体"/>
          <w:color w:val="auto"/>
          <w:lang w:eastAsia="zh-CN"/>
        </w:rPr>
        <w:t>及意义</w:t>
      </w:r>
    </w:p>
    <w:tbl>
      <w:tblPr>
        <w:tblStyle w:val="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3300"/>
        <w:gridCol w:w="3750"/>
        <w:gridCol w:w="840"/>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9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330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检查项目</w:t>
            </w:r>
          </w:p>
        </w:tc>
        <w:tc>
          <w:tcPr>
            <w:tcW w:w="375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检查意义</w:t>
            </w:r>
          </w:p>
        </w:tc>
        <w:tc>
          <w:tcPr>
            <w:tcW w:w="84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男</w:t>
            </w:r>
          </w:p>
        </w:tc>
        <w:tc>
          <w:tcPr>
            <w:tcW w:w="784"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体格检查</w:t>
            </w:r>
          </w:p>
        </w:tc>
        <w:tc>
          <w:tcPr>
            <w:tcW w:w="375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身高、体重、血压、脉搏、视力</w:t>
            </w:r>
          </w:p>
        </w:tc>
        <w:tc>
          <w:tcPr>
            <w:tcW w:w="8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内科检查            </w:t>
            </w:r>
          </w:p>
        </w:tc>
        <w:tc>
          <w:tcPr>
            <w:tcW w:w="375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发育、营养、心、肺、腹检查等</w:t>
            </w:r>
          </w:p>
        </w:tc>
        <w:tc>
          <w:tcPr>
            <w:tcW w:w="84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外科检查          </w:t>
            </w:r>
          </w:p>
        </w:tc>
        <w:tc>
          <w:tcPr>
            <w:tcW w:w="3750" w:type="dxa"/>
            <w:tcBorders>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皮肤、淋巴结、甲状腺、四肢、脊柱检查等</w:t>
            </w:r>
          </w:p>
        </w:tc>
        <w:tc>
          <w:tcPr>
            <w:tcW w:w="840"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眼科检查（裂隙灯检查）+眼底</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了解视力状况，判断眼睛视力、色觉功能；检查眼睑、泪囊、结膜、眼球是否存在异常情况。</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耳鼻喉科检查    </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外耳、中耳、鼻、口咽、扁桃体检查等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血常规二十四项      </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检查贫血、感染、血液病等引起的血液变化</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肝功能十项：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谷丙转氨酶、谷草转氨酶、 γ-谷氨酰转肽酶 、总蛋白、白蛋白、球蛋白、白蛋白/球蛋白、乳酸脱氢酶、碱性磷酸酶、总胆红素、直接胆红素、间接胆红素、谷草/谷丙       </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全面反映肝脏功能状况及黄疸程度检测</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肾功三项：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尿酸、肌酐、尿素氮              </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检查肾功能及相关代谢性疾病</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空腹血糖（GLU）                </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筛查糖尿病</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血脂四项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总胆固醇、甘油三脂、高密度脂蛋白胆固醇、低密度脂蛋白胆固醇   </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用于监测脂代谢</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心四酶：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CPK、AST、LDH、∝-HBDH</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用于心肌疾患的辅助诊断</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超敏C-反应蛋白（HCPP）</w:t>
            </w:r>
          </w:p>
        </w:tc>
        <w:tc>
          <w:tcPr>
            <w:tcW w:w="3750"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心脑血管疾病风险预测指标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血流变学四项</w:t>
            </w:r>
          </w:p>
        </w:tc>
        <w:tc>
          <w:tcPr>
            <w:tcW w:w="3750"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血液粘度监测，中风预报</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心电图检查                      </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对心律失常、传导障碍、心肌缺血等诊断有重要价值</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2"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B超检查：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肝、胆、脾、胰、双肾、膀胱、输尿管、前列腺（男）、子宫及附件（女）</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检查结石、息肉、脂肪肝、炎症、肿物等</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2"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胸部正位DR检查</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筛查慢支、肺气肿、肺结核、肺癌、纵隔疾病、胸膜腔疾病、动脉硬化及部分器质性心脏病等</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颈椎侧位DR检查</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筛查颈椎关节有没有增生，颈椎曲度是否改变、有无骨质增生或韧带钙化。</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尿常规十项 </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泌尿及代谢系统疾病诊断</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骨密度检查</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诊断骨质疏松及骨折风险预测</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9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甲状腺功能：                          FT3、FT4、hTSH、TGAb、TMAb</w:t>
            </w:r>
          </w:p>
        </w:tc>
        <w:tc>
          <w:tcPr>
            <w:tcW w:w="375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诊断甲状腺机能亢进或甲状腺机能低下等疾病</w:t>
            </w:r>
          </w:p>
        </w:tc>
        <w:tc>
          <w:tcPr>
            <w:tcW w:w="8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前列腺特异性抗原（PSA）（男）</w:t>
            </w:r>
          </w:p>
        </w:tc>
        <w:tc>
          <w:tcPr>
            <w:tcW w:w="375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用于前列腺癌的诊断和鉴别诊断</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游离前列特异抗原（F-PSA)（男）</w:t>
            </w:r>
          </w:p>
        </w:tc>
        <w:tc>
          <w:tcPr>
            <w:tcW w:w="375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0"/>
                <w:szCs w:val="20"/>
                <w:u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F-PSA/T-PSA（男）</w:t>
            </w:r>
          </w:p>
        </w:tc>
        <w:tc>
          <w:tcPr>
            <w:tcW w:w="375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0"/>
                <w:szCs w:val="20"/>
                <w:u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癌胚抗原定量(CEA)</w:t>
            </w:r>
          </w:p>
        </w:tc>
        <w:tc>
          <w:tcPr>
            <w:tcW w:w="3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系广谱性肿瘤标志物，对大肠癌、胰腺癌的筛查、疗效观察和预后评估有重要的临床意义。在胃、乳腺、肺癌等也可升高。</w:t>
            </w: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甲胎蛋白定量(AFP)</w:t>
            </w:r>
          </w:p>
        </w:tc>
        <w:tc>
          <w:tcPr>
            <w:tcW w:w="3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对原发性肝癌的诊断、疗效观察和预后评估有重要的临床意义。在卵巢、胃、胰腺癌、睾丸癌等肿瘤及肝炎、肝硬化等疾病也有异常发现</w:t>
            </w: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神经元特异性烯醇化酶（NSE）</w:t>
            </w:r>
          </w:p>
        </w:tc>
        <w:tc>
          <w:tcPr>
            <w:tcW w:w="3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小细胞肺癌和非小细胞肺癌的鉴别诊断，病情的监测</w:t>
            </w: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肺细胞角蛋白21-1(Cyfra 21-1)</w:t>
            </w:r>
          </w:p>
        </w:tc>
        <w:tc>
          <w:tcPr>
            <w:tcW w:w="3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对非小细胞肺癌的诊断具有重要价值</w:t>
            </w: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胰腺癌肿瘤筛检（CA199)</w:t>
            </w:r>
          </w:p>
        </w:tc>
        <w:tc>
          <w:tcPr>
            <w:tcW w:w="3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胰腺癌、胆道恶性肿瘤及胃癌、结肠癌、肝癌的辅助诊断</w:t>
            </w: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多种肿瘤筛检（CA153)</w:t>
            </w:r>
          </w:p>
        </w:tc>
        <w:tc>
          <w:tcPr>
            <w:tcW w:w="3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诊断乳腺癌和转移乳腺癌，辅助诊断卵巢癌、肺癌</w:t>
            </w: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癌抗原125(CA125)</w:t>
            </w:r>
          </w:p>
        </w:tc>
        <w:tc>
          <w:tcPr>
            <w:tcW w:w="3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卵巢、子宫内膜、肝、肺、结直肠、胃癌的诊断和治疗监测</w:t>
            </w: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1"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游离绒毛膜促性腺激素β-HCG</w:t>
            </w:r>
          </w:p>
        </w:tc>
        <w:tc>
          <w:tcPr>
            <w:tcW w:w="3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特异β人绒毛膜促性腺激素：对滋养细胞肿瘤等疾病的诊断、鉴别和病程观察等有一定价值</w:t>
            </w: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癌肿抗原724（CA724）</w:t>
            </w:r>
          </w:p>
        </w:tc>
        <w:tc>
          <w:tcPr>
            <w:tcW w:w="3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用于胃肠道肿瘤的筛查；对胃癌尤其是较为早期或恶性度较高的胃癌诊断阳性率要高于其他血清学指标</w:t>
            </w: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癌肿抗原（CA242）</w:t>
            </w:r>
          </w:p>
        </w:tc>
        <w:tc>
          <w:tcPr>
            <w:tcW w:w="3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大肠癌和胰腺癌等肿瘤标志物</w:t>
            </w: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2" w:hRule="atLeast"/>
        </w:trPr>
        <w:tc>
          <w:tcPr>
            <w:tcW w:w="690" w:type="dxa"/>
            <w:tcBorders>
              <w:top w:val="single" w:color="auto"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鳞状上皮细胞癌抗原(SCC)（女）</w:t>
            </w:r>
          </w:p>
        </w:tc>
        <w:tc>
          <w:tcPr>
            <w:tcW w:w="3750" w:type="dxa"/>
            <w:tcBorders>
              <w:top w:val="single" w:color="auto"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作为子宫颈、肺部、头颈部、外阴和食道等部位的鳞状细胞癌的血清标志物，是目前诊断宫颈癌最有价值的肿瘤标志物</w:t>
            </w:r>
          </w:p>
        </w:tc>
        <w:tc>
          <w:tcPr>
            <w:tcW w:w="84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w:t>
            </w:r>
          </w:p>
        </w:tc>
        <w:tc>
          <w:tcPr>
            <w:tcW w:w="78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690" w:type="dxa"/>
            <w:tcBorders>
              <w:top w:val="single" w:color="auto"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EB病毒NA1-lgA抗体</w:t>
            </w:r>
          </w:p>
        </w:tc>
        <w:tc>
          <w:tcPr>
            <w:tcW w:w="3750" w:type="dxa"/>
            <w:tcBorders>
              <w:top w:val="single" w:color="auto"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鼻咽癌的发生与EB病毒感染有密切关系，(EBV-IgA)的检测是临床用来检测EB病毒感染的，测验值可证明有无病毒感染，但不足以说明有鼻咽癌。</w:t>
            </w:r>
          </w:p>
        </w:tc>
        <w:tc>
          <w:tcPr>
            <w:tcW w:w="84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胃蛋白酶原</w:t>
            </w:r>
          </w:p>
        </w:tc>
        <w:tc>
          <w:tcPr>
            <w:tcW w:w="3750" w:type="dxa"/>
            <w:vMerge w:val="restart"/>
            <w:tcBorders>
              <w:top w:val="single" w:color="000000" w:sz="4" w:space="0"/>
              <w:lef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浅表性胃炎，糜烂性胃炎，胃溃疡，十二指二肠溃疡等胃部疾病诊断。</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胃泌素G-17</w:t>
            </w:r>
          </w:p>
        </w:tc>
        <w:tc>
          <w:tcPr>
            <w:tcW w:w="3750" w:type="dxa"/>
            <w:vMerge w:val="continue"/>
            <w:tcBorders>
              <w:left w:val="single" w:color="000000" w:sz="4" w:space="0"/>
              <w:bottom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甲状腺彩超</w:t>
            </w:r>
          </w:p>
        </w:tc>
        <w:tc>
          <w:tcPr>
            <w:tcW w:w="3750" w:type="dxa"/>
            <w:tcBorders>
              <w:top w:val="single" w:color="000000" w:sz="4" w:space="0"/>
              <w:left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通过彩色超声仪器更清晰地观察甲状腺肿物、结节、肿大、炎症；可发现甲状腺肿、甲状腺囊肿、甲状腺炎、甲状腺瘤、甲状腺癌等疾病</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颈动脉彩超</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可以较准确地检测颈部血管的病变，确定狭窄程度，对于诊断颈动脉粥样硬化，颈动脉狭窄及闭塞等症具有较大的临床意义。</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动脉硬化检查</w:t>
            </w:r>
          </w:p>
        </w:tc>
        <w:tc>
          <w:tcPr>
            <w:tcW w:w="375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心、脑血管疾病前期筛查</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双侧乳腺彩超</w:t>
            </w:r>
          </w:p>
        </w:tc>
        <w:tc>
          <w:tcPr>
            <w:tcW w:w="37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检查乳腺癌、乳腺增生（生理或病理性）</w:t>
            </w:r>
          </w:p>
        </w:tc>
        <w:tc>
          <w:tcPr>
            <w:tcW w:w="840" w:type="dxa"/>
            <w:tcBorders>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妇科检查</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首先查看外阴有无皮肤病、水肿、白斑等；阴道有无出血、溃疡，有无宫颈炎症,宫颈糜烂等。触摸检查子宫大小、形态、位置以及活动度是否正常检查双侧附件有无肿块及压痛等</w:t>
            </w:r>
          </w:p>
        </w:tc>
        <w:tc>
          <w:tcPr>
            <w:tcW w:w="84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白带常规</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用于检查阴道内有无滴虫、念珠菌，同时还可确定阴道清洁度，是筛查阴道炎的有效手段</w:t>
            </w:r>
          </w:p>
        </w:tc>
        <w:tc>
          <w:tcPr>
            <w:tcW w:w="84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高危型HPV-DNA检测（HC2）</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阳性直接反映人体内乳头瘤病毒是否存在，可具体判断出感染病毒型别，为临床诊断宫颈癌提供参考。</w:t>
            </w:r>
          </w:p>
        </w:tc>
        <w:tc>
          <w:tcPr>
            <w:tcW w:w="84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子宫颈癌液基细胞学筛查 (TCT)</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c>
          <w:tcPr>
            <w:tcW w:w="84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医生评估及体检总结</w:t>
            </w:r>
          </w:p>
        </w:tc>
        <w:tc>
          <w:tcPr>
            <w:tcW w:w="3750"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2"/>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个检报告</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bl>
    <w:p>
      <w:pPr>
        <w:spacing w:line="360" w:lineRule="auto"/>
        <w:ind w:left="309" w:hanging="308" w:hangingChars="147"/>
        <w:rPr>
          <w:rFonts w:hint="eastAsia" w:ascii="宋体" w:hAnsi="宋体"/>
        </w:rPr>
      </w:pPr>
    </w:p>
    <w:p>
      <w:pPr>
        <w:widowControl/>
        <w:jc w:val="left"/>
        <w:rPr>
          <w:rFonts w:hint="eastAsia" w:ascii="宋体" w:hAnsi="宋体"/>
          <w:color w:val="auto"/>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编外人员</w:t>
      </w:r>
      <w:r>
        <w:rPr>
          <w:rFonts w:hint="eastAsia" w:ascii="宋体" w:hAnsi="宋体" w:eastAsia="宋体" w:cs="宋体"/>
          <w:color w:val="auto"/>
          <w:kern w:val="2"/>
          <w:sz w:val="21"/>
          <w:szCs w:val="21"/>
          <w:lang w:eastAsia="zh-CN"/>
        </w:rPr>
        <w:t>体</w:t>
      </w:r>
      <w:r>
        <w:rPr>
          <w:rFonts w:hint="eastAsia" w:ascii="宋体" w:hAnsi="宋体" w:eastAsia="宋体" w:cs="宋体"/>
          <w:color w:val="auto"/>
          <w:kern w:val="2"/>
          <w:sz w:val="21"/>
          <w:szCs w:val="21"/>
          <w:lang w:val="en-US" w:eastAsia="zh-CN"/>
        </w:rPr>
        <w:t>检项目及意义</w:t>
      </w:r>
    </w:p>
    <w:tbl>
      <w:tblPr>
        <w:tblStyle w:val="2"/>
        <w:tblW w:w="9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0"/>
        <w:gridCol w:w="3465"/>
        <w:gridCol w:w="3570"/>
        <w:gridCol w:w="682"/>
        <w:gridCol w:w="717"/>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序号</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检查项目</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检查意义</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男</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未婚女</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已婚女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体格检查</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身高、体重、血压、脉搏、视力</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内科检查            </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发育、营养、心、肺、腹检查等</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外科检查          </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皮肤、淋巴结、甲状腺、四肢、脊柱检查等</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眼科检查（裂隙灯检查）</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了解视力状况，判断眼睛视力、色觉功能；检查眼睑、泪囊、结膜、眼球是否存在异常情况。</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耳鼻喉科检查    </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外耳、中耳、鼻、口咽、扁桃体检查等       </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血常规二十四项      </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检查贫血、感染、血液病等引起的血液变化</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肝功能五项：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谷丙转氨酶、谷草转氨酶、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γ-谷氨酰转肽酶、总蛋白、白蛋白(A、球蛋白、白蛋白/球蛋白、谷草/谷丙       </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较全面反映肝脏功能状况</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肾功三项：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尿酸、肌酐、尿素氮              </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检查肾功能及相关代谢性疾病</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空腹血糖（GLU）                </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筛查糖尿病</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血脂四项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总胆固醇、甘油三脂、高密度脂蛋白胆固醇、低密度脂蛋白胆固醇   </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用于监测脂代谢</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8"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心四酶：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CPK、AST、LDH、∝-HBDH</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用于心肌疾患的辅助诊断</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B超检查：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肝、胆、脾、胰、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双肾、膀胱、输尿管、前列腺（男）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、子宫及附件（女）</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检查结石、息肉、脂肪肝、炎症、肿物等</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心电图检查                      </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对心律失常、传导障碍、心肌缺血等诊断有重要价值</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胸部正位DR检查</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筛查慢支、肺气肿、肺结核、肺癌、纵隔疾病、胸膜腔疾病、动脉硬化及部分器质性心脏病等</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尿常规十项 </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泌尿及代谢系统疾病诊断</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颈椎侧位DR检查</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筛查颈椎关节有没有增生，颈椎曲度是否改变、有无骨质增生或韧带钙化。</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甲状腺功能：                          FT3、FT4、hTSH、TGAb、TMAb</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诊断甲状腺机能亢进或甲状腺机能低下等疾病</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前列腺特异性抗原（PSA）（男）</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用于前列腺癌的诊断和鉴别诊断</w:t>
            </w:r>
          </w:p>
        </w:tc>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游离前列特异抗原（F-PSA)（男）</w:t>
            </w: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F-PSA/T-PSA（男）</w:t>
            </w: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癌胚抗原定量(CEA)</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系广谱性肿瘤标志物，对大肠癌、胰腺癌的筛查、疗效观察和预后评估有重要的临床意义。在胃、乳腺、肺癌等也可升高。</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甲胎蛋白定量(AFP)</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对原发性肝癌的诊断、疗效观察和预后评估有重要的临床意义。在卵巢、胃、胰腺癌、睾丸癌等肿瘤及肝炎、肝硬化等疾病也有异常发现。</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神经元特异性烯醇化酶（NSE）</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小细胞肺癌和非小细胞肺癌的鉴别诊断，病情的监测</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肺细胞角蛋白21-1(Cyfra 21-1)</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对非小细胞肺癌的诊断具有重要价值</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胰腺癌肿瘤筛检（CA199)</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胰腺癌、胆道恶性肿瘤及胃癌、结肠癌、肝癌的辅助诊断</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多种肿瘤筛检（CA153)</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诊断乳腺癌和转移乳腺癌，辅助诊断卵巢癌、肺癌</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癌抗原125(CA125)</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卵巢、子宫内膜、肝、肺、结直肠、胃癌的诊断和治疗监测</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游离绒毛膜促性腺激素β-HCG</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特异β人绒毛膜促性腺激素：对滋养细胞肿瘤等疾病的诊断、鉴别和病程观察等有一定价值</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癌肿抗原724（CA724）</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用于胃肠道肿瘤的筛查；对胃癌尤其是较为早期或恶性度较高的胃癌诊断阳性率要高于其他血清学指标</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癌肿抗原（CA242）</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大肠癌和胰腺癌等肿瘤标志物</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鳞状上皮细胞癌抗原(SCC)（女）</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作为子宫颈、肺部、头颈部、外阴和食道等部位的鳞状细胞癌的血清标志物，是目前诊断宫颈癌最有价值的肿瘤标志物</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EB病毒NA1-lgA抗体</w:t>
            </w:r>
          </w:p>
        </w:tc>
        <w:tc>
          <w:tcPr>
            <w:tcW w:w="3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可用于鼻咽癌的筛查和早期发现。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甲状腺彩超</w:t>
            </w:r>
          </w:p>
        </w:tc>
        <w:tc>
          <w:tcPr>
            <w:tcW w:w="3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通过彩色超声仪器更清晰地观察甲状腺肿物、结节、肿大、炎症；可发现甲状腺肿、甲状腺囊肿、甲状腺炎、甲状腺瘤、甲状腺癌等疾病</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双侧乳腺彩超</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检查乳腺癌、乳腺增生（生理或病理性）</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妇科检查</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首先查看外阴有无皮肤病、水肿、白斑等；阴道有无出血、溃疡，有无宫颈炎症,宫颈糜烂等。触摸检查子宫大小、形态、位置以及活动度是否正常检查双侧附件有无肿块及压痛等</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白带常规</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用于检查阴道内有无滴虫、念珠菌，同时还可确定阴道清洁度，是筛查阴道炎的有效手段</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子宫颈癌液基细胞学筛查 (TCT)</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医生评估及体检总结</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个检报告</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r>
    </w:tbl>
    <w:p>
      <w:r>
        <w:br w:type="page"/>
      </w:r>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A61E"/>
    <w:multiLevelType w:val="singleLevel"/>
    <w:tmpl w:val="06E7A61E"/>
    <w:lvl w:ilvl="0" w:tentative="0">
      <w:start w:val="1"/>
      <w:numFmt w:val="chineseCounting"/>
      <w:suff w:val="nothing"/>
      <w:lvlText w:val="%1、"/>
      <w:lvlJc w:val="left"/>
      <w:rPr>
        <w:rFonts w:hint="eastAsia"/>
      </w:rPr>
    </w:lvl>
  </w:abstractNum>
  <w:abstractNum w:abstractNumId="1">
    <w:nsid w:val="5ED5F94C"/>
    <w:multiLevelType w:val="singleLevel"/>
    <w:tmpl w:val="5ED5F94C"/>
    <w:lvl w:ilvl="0" w:tentative="0">
      <w:start w:val="1"/>
      <w:numFmt w:val="decimal"/>
      <w:lvlText w:val="%1."/>
      <w:lvlJc w:val="left"/>
      <w:pPr>
        <w:tabs>
          <w:tab w:val="left" w:pos="425"/>
        </w:tabs>
        <w:ind w:left="425" w:hanging="425"/>
      </w:pPr>
      <w:rPr>
        <w:rFonts w:hint="default"/>
      </w:rPr>
    </w:lvl>
  </w:abstractNum>
  <w:abstractNum w:abstractNumId="2">
    <w:nsid w:val="5ED5FA8B"/>
    <w:multiLevelType w:val="singleLevel"/>
    <w:tmpl w:val="5ED5FA8B"/>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764F6"/>
    <w:rsid w:val="035764F6"/>
    <w:rsid w:val="077075E8"/>
    <w:rsid w:val="083811B2"/>
    <w:rsid w:val="17B8007C"/>
    <w:rsid w:val="20300935"/>
    <w:rsid w:val="3D9056D7"/>
    <w:rsid w:val="454279DB"/>
    <w:rsid w:val="598007B1"/>
    <w:rsid w:val="60CB2888"/>
    <w:rsid w:val="66D9101D"/>
    <w:rsid w:val="6A7053AA"/>
    <w:rsid w:val="6DB52E1B"/>
    <w:rsid w:val="6DC241A5"/>
    <w:rsid w:val="727A7005"/>
    <w:rsid w:val="76B13177"/>
    <w:rsid w:val="77F55C8D"/>
    <w:rsid w:val="7D5F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2020-06-04T05:33:00Z</dcterms:created>
  <dc:creator>Administrator</dc:creator>
  <cp:lastModifiedBy>Administrator</cp:lastModifiedBy>
  <dcterms:modified xsi:type="dcterms:W3CDTF">2020-06-17T01:50:28Z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