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2024年广东省中小学生“学习新思想，做好接班人”主题系列活动之网络素养教育小提案征集活动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宣传制作服务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采购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需求清单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560" w:lineRule="exact"/>
        <w:textAlignment w:val="center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注：报价需包含设计、制作、运输、安装费用以及税费</w:t>
      </w:r>
    </w:p>
    <w:tbl>
      <w:tblPr>
        <w:tblStyle w:val="2"/>
        <w:tblW w:w="10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535"/>
        <w:gridCol w:w="4740"/>
        <w:gridCol w:w="570"/>
        <w:gridCol w:w="442"/>
        <w:gridCol w:w="765"/>
        <w:gridCol w:w="735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采购项目内容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规格要求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数量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单位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</w:rPr>
              <w:t>总价</w:t>
            </w: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（元）</w:t>
            </w:r>
          </w:p>
        </w:tc>
        <w:tc>
          <w:tcPr>
            <w:tcW w:w="668" w:type="dxa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优秀作品访谈视频拍摄制作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提供拍摄器材，每次拍摄时长不低于30分钟，对拍摄内容进行后期剪辑，时长不低于60秒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根据活动开展情况安排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活动宣传片制作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编辑制作宣传片时长不低于60秒。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作品集策划制作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在主办方官网收集整理作品，并对所有作品分类，入围作品按要求进行排版及印刷。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册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媒体宣传推广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接洽指定媒体单位，按要求提供相关宣传资料，做好媒体宣传推广工作。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作品展制作安装</w:t>
            </w:r>
          </w:p>
        </w:tc>
        <w:tc>
          <w:tcPr>
            <w:tcW w:w="4740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作品展含设计、制作、布展及撤展。按要求布置相关的打卡点；活动背景板；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展示架；易拉宝等，定制相关小礼物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  <w:lang w:eastAsia="zh-CN"/>
              </w:rPr>
              <w:t>批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735" w:type="dxa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</w:tcPr>
          <w:p>
            <w:pPr>
              <w:widowControl/>
              <w:spacing w:line="560" w:lineRule="exac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99C8E0-82E0-4735-A396-112086FDD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0B3EE3A-D100-45DF-8105-1D24F9DEEB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lhZjEzZTZkZmI2MDhiMDA2MjMyYmE3MGU4YzkifQ=="/>
  </w:docVars>
  <w:rsids>
    <w:rsidRoot w:val="00B6050E"/>
    <w:rsid w:val="00143458"/>
    <w:rsid w:val="00973FEF"/>
    <w:rsid w:val="00B6050E"/>
    <w:rsid w:val="00E85AA7"/>
    <w:rsid w:val="061B2645"/>
    <w:rsid w:val="06224324"/>
    <w:rsid w:val="078D6805"/>
    <w:rsid w:val="08B26243"/>
    <w:rsid w:val="0B472137"/>
    <w:rsid w:val="0E5540C3"/>
    <w:rsid w:val="0ECF6C54"/>
    <w:rsid w:val="142A3482"/>
    <w:rsid w:val="15803A6B"/>
    <w:rsid w:val="166C075B"/>
    <w:rsid w:val="16B552D8"/>
    <w:rsid w:val="1EB11F7C"/>
    <w:rsid w:val="20EC4F84"/>
    <w:rsid w:val="24071333"/>
    <w:rsid w:val="25FC2044"/>
    <w:rsid w:val="28366D54"/>
    <w:rsid w:val="2B420CE7"/>
    <w:rsid w:val="2E670BDF"/>
    <w:rsid w:val="4F665FE1"/>
    <w:rsid w:val="50B026E1"/>
    <w:rsid w:val="59976D12"/>
    <w:rsid w:val="6A177D24"/>
    <w:rsid w:val="793231C6"/>
    <w:rsid w:val="7C305719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619</Words>
  <Characters>640</Characters>
  <Lines>5</Lines>
  <Paragraphs>1</Paragraphs>
  <TotalTime>57</TotalTime>
  <ScaleCrop>false</ScaleCrop>
  <LinksUpToDate>false</LinksUpToDate>
  <CharactersWithSpaces>641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2023-03-30T08:48:00Z</dcterms:created>
  <dc:creator>kidtygao</dc:creator>
  <cp:lastModifiedBy>admin</cp:lastModifiedBy>
  <dcterms:modified xsi:type="dcterms:W3CDTF">2024-06-07T06:50:45Z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1B8A6CFE2BFF45B1A74B6CB3BC058F9B_13</vt:lpwstr>
  </property>
</Properties>
</file>