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eastAsia" w:ascii="黑体" w:hAnsi="黑体" w:eastAsia="黑体" w:cs="黑体"/>
          <w:iCs w:val="0"/>
          <w:color w:val="auto"/>
          <w:lang w:val="en-US"/>
        </w:rPr>
      </w:pPr>
      <w:bookmarkStart w:id="0" w:name="_Hlk533590101"/>
      <w:r>
        <w:rPr>
          <w:rStyle w:val="11"/>
          <w:rFonts w:hint="eastAsia" w:ascii="黑体" w:hAnsi="黑体" w:eastAsia="黑体" w:cs="黑体"/>
          <w:color w:val="auto"/>
        </w:rPr>
        <w:t>附件</w:t>
      </w:r>
      <w:r>
        <w:rPr>
          <w:rStyle w:val="11"/>
          <w:rFonts w:hint="eastAsia" w:ascii="黑体" w:hAnsi="黑体" w:eastAsia="黑体" w:cs="黑体"/>
          <w:color w:val="auto"/>
          <w:lang w:val="en-US" w:eastAsia="zh-CN"/>
        </w:rPr>
        <w:t>2</w:t>
      </w:r>
      <w:bookmarkStart w:id="3" w:name="_GoBack"/>
      <w:bookmarkEnd w:id="3"/>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p>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宋体" w:hAnsi="宋体" w:eastAsia="宋体" w:cs="宋体"/>
          <w:b/>
          <w:i w:val="0"/>
          <w:color w:val="auto"/>
          <w:kern w:val="0"/>
          <w:sz w:val="28"/>
          <w:szCs w:val="28"/>
          <w:u w:val="none"/>
          <w:lang w:val="en-US" w:eastAsia="zh-CN"/>
        </w:rPr>
      </w:pPr>
      <w:r>
        <w:rPr>
          <w:rFonts w:hint="eastAsia" w:ascii="宋体" w:hAnsi="宋体" w:eastAsia="宋体" w:cs="宋体"/>
          <w:b/>
          <w:bCs/>
          <w:color w:val="auto"/>
          <w:kern w:val="0"/>
          <w:sz w:val="24"/>
          <w:szCs w:val="24"/>
          <w:lang w:eastAsia="zh-CN"/>
        </w:rPr>
        <w:t>（一）男职工</w:t>
      </w:r>
      <w:r>
        <w:rPr>
          <w:rFonts w:hint="eastAsia" w:ascii="宋体" w:hAnsi="宋体" w:eastAsia="宋体" w:cs="宋体"/>
          <w:b/>
          <w:i w:val="0"/>
          <w:color w:val="auto"/>
          <w:kern w:val="0"/>
          <w:sz w:val="24"/>
          <w:szCs w:val="24"/>
          <w:u w:val="none"/>
          <w:lang w:val="en-US" w:eastAsia="zh-CN"/>
        </w:rPr>
        <w:t>体检报价表（男</w:t>
      </w:r>
      <w:r>
        <w:rPr>
          <w:rFonts w:hint="eastAsia" w:ascii="宋体" w:hAnsi="宋体" w:cs="宋体"/>
          <w:b/>
          <w:i w:val="0"/>
          <w:color w:val="auto"/>
          <w:kern w:val="0"/>
          <w:sz w:val="24"/>
          <w:szCs w:val="24"/>
          <w:u w:val="none"/>
          <w:lang w:val="en-US" w:eastAsia="zh-CN"/>
        </w:rPr>
        <w:t>46</w:t>
      </w:r>
      <w:r>
        <w:rPr>
          <w:rFonts w:hint="eastAsia" w:ascii="宋体" w:hAnsi="宋体" w:eastAsia="宋体" w:cs="宋体"/>
          <w:b/>
          <w:i w:val="0"/>
          <w:color w:val="auto"/>
          <w:kern w:val="0"/>
          <w:sz w:val="24"/>
          <w:szCs w:val="24"/>
          <w:u w:val="none"/>
          <w:lang w:val="en-US" w:eastAsia="zh-CN"/>
        </w:rPr>
        <w:t>人）</w:t>
      </w:r>
      <w:r>
        <w:rPr>
          <w:rFonts w:hint="eastAsia" w:ascii="宋体" w:hAnsi="宋体" w:eastAsia="宋体" w:cs="宋体"/>
          <w:b/>
          <w:i w:val="0"/>
          <w:color w:val="auto"/>
          <w:kern w:val="0"/>
          <w:sz w:val="28"/>
          <w:szCs w:val="28"/>
          <w:u w:val="none"/>
          <w:lang w:val="en-US" w:eastAsia="zh-CN"/>
        </w:rPr>
        <w:t xml:space="preserve">   </w:t>
      </w:r>
    </w:p>
    <w:tbl>
      <w:tblPr>
        <w:tblStyle w:val="7"/>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589"/>
        <w:gridCol w:w="4066"/>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双肾输尿管膀胱前列腺彩超 </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筛查双肾的肿瘤、结石及前列腺炎症、肥大、肿瘤等情况。彩超可以更加清楚了解泌尿系统及前列腺的疾病及血流变化情况。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低剂量肺部平扫CT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肾功五项（血清尿素、血清肌酐、血清胱抑素C、血清β2微球蛋白β2-MG、尿酸）</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超敏C-反应蛋白测定（HsCRP）</w:t>
            </w:r>
          </w:p>
        </w:tc>
        <w:tc>
          <w:tcPr>
            <w:tcW w:w="4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了解与血管硬化、冠心病、中风、糖尿病等疾病的相关性。</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血同型半胱氨酸测定（HCY）</w:t>
            </w:r>
          </w:p>
        </w:tc>
        <w:tc>
          <w:tcPr>
            <w:tcW w:w="4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15</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17</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前列腺肿瘤筛查二项（总前列腺抗原 TPSA、游离前列腺抗原 FPSA）</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包括总前列腺特异性抗原测定(tPSA)、游离前列腺特异性抗原测定(fPSA)，对前列腺癌筛查、前列腺术后有重要评估作用。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粪便常规+OB+肝吸虫集卵</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常规粪便有形成分检验，隐血试验可协助消化道出血或早期肿瘤的筛查，寄生虫卵的检验。</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auto"/>
                <w:sz w:val="22"/>
                <w:szCs w:val="22"/>
                <w:u w:val="none"/>
              </w:rPr>
            </w:pPr>
          </w:p>
        </w:tc>
      </w:tr>
    </w:tbl>
    <w:p>
      <w:pPr>
        <w:widowControl/>
        <w:spacing w:line="520" w:lineRule="exact"/>
        <w:ind w:firstLine="560"/>
        <w:textAlignment w:val="center"/>
        <w:rPr>
          <w:rFonts w:hint="eastAsia" w:ascii="宋体" w:hAnsi="宋体" w:eastAsia="宋体"/>
          <w:color w:val="auto"/>
          <w:kern w:val="0"/>
          <w:sz w:val="28"/>
        </w:rPr>
      </w:pPr>
    </w:p>
    <w:p>
      <w:pPr>
        <w:widowControl/>
        <w:spacing w:line="520" w:lineRule="exact"/>
        <w:ind w:firstLine="560"/>
        <w:textAlignment w:val="center"/>
        <w:rPr>
          <w:rFonts w:hint="eastAsia" w:ascii="宋体" w:hAnsi="宋体" w:eastAsia="宋体"/>
          <w:color w:val="auto"/>
          <w:kern w:val="0"/>
          <w:sz w:val="28"/>
        </w:rPr>
      </w:pPr>
      <w:r>
        <w:rPr>
          <w:rFonts w:hint="eastAsia" w:ascii="宋体" w:hAnsi="宋体" w:eastAsia="宋体" w:cs="宋体"/>
          <w:b/>
          <w:i w:val="0"/>
          <w:color w:val="auto"/>
          <w:kern w:val="0"/>
          <w:sz w:val="24"/>
          <w:szCs w:val="24"/>
          <w:u w:val="none"/>
          <w:lang w:val="en-US" w:eastAsia="zh-CN"/>
        </w:rPr>
        <w:t>（二）已婚女职工体检报价表（8</w:t>
      </w:r>
      <w:r>
        <w:rPr>
          <w:rFonts w:hint="eastAsia" w:ascii="宋体" w:hAnsi="宋体" w:cs="宋体"/>
          <w:b/>
          <w:i w:val="0"/>
          <w:color w:val="auto"/>
          <w:kern w:val="0"/>
          <w:sz w:val="24"/>
          <w:szCs w:val="24"/>
          <w:u w:val="none"/>
          <w:lang w:val="en-US" w:eastAsia="zh-CN"/>
        </w:rPr>
        <w:t>3</w:t>
      </w:r>
      <w:r>
        <w:rPr>
          <w:rFonts w:hint="eastAsia" w:ascii="宋体" w:hAnsi="宋体" w:eastAsia="宋体" w:cs="宋体"/>
          <w:b/>
          <w:i w:val="0"/>
          <w:color w:val="auto"/>
          <w:kern w:val="0"/>
          <w:sz w:val="24"/>
          <w:szCs w:val="24"/>
          <w:u w:val="none"/>
          <w:lang w:val="en-US" w:eastAsia="zh-CN"/>
        </w:rPr>
        <w:t xml:space="preserve">人）  </w:t>
      </w:r>
    </w:p>
    <w:tbl>
      <w:tblPr>
        <w:tblStyle w:val="7"/>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589"/>
        <w:gridCol w:w="4066"/>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乳腺手检</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乳腺检查的基础项目，含乳房视诊和触诊：视诊观察乳腺外形、皮肤、乳头，腋窝、锁骨上下，触诊检查乳腺和腋窝是否有肿块和肿大淋巴结。</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妇科常规检查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包括窥窥阴器检查和双合诊检查，窥阴器通过观察外阴、阴道、宫颈、双合诊检查子宫、输卵管、卵巢，对妇科做出初步判断。也是宫颈癌筛查取样的必须检查手段。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膜式液基超薄细胞学检测(TCT)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液基超薄细胞学技术对宫颈脱落细胞进行细胞学检查，对阴道感染、宫颈感染、宫颈病变、宫颈癌变进行鉴别筛查。是目前国际上最先进的应用最广泛的一种宫颈癌细胞学检查和筛查技术。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双肾输尿管膀胱彩超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妇科阴道彩超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查子宫、附件的状况，以发现卵巢肿瘤、子宫肌瘤与盆腔炎等。 </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双侧乳腺彩超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10</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低剂量肺部平扫CT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肾功五项（血清尿素、血清肌酐、血清胱抑素C、血清β2微球蛋白β2-MG、尿酸）</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17</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粪便常规+OB+肝吸虫集卵</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常规粪便有形成分检验，隐血试验可协助消化道出血或早期肿瘤的筛查，寄生虫卵的检验。</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auto"/>
                <w:sz w:val="22"/>
                <w:szCs w:val="22"/>
                <w:u w:val="none"/>
              </w:rPr>
            </w:pPr>
          </w:p>
        </w:tc>
      </w:tr>
    </w:tbl>
    <w:p>
      <w:pPr>
        <w:widowControl/>
        <w:spacing w:line="520" w:lineRule="exact"/>
        <w:ind w:firstLine="560"/>
        <w:textAlignment w:val="center"/>
        <w:rPr>
          <w:rFonts w:hint="eastAsia" w:ascii="宋体" w:hAnsi="宋体" w:eastAsia="宋体"/>
          <w:color w:val="auto"/>
          <w:kern w:val="0"/>
          <w:sz w:val="28"/>
        </w:rPr>
      </w:pPr>
    </w:p>
    <w:p>
      <w:pPr>
        <w:widowControl/>
        <w:numPr>
          <w:ilvl w:val="0"/>
          <w:numId w:val="0"/>
        </w:numPr>
        <w:spacing w:line="520" w:lineRule="exact"/>
        <w:textAlignment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i w:val="0"/>
          <w:color w:val="auto"/>
          <w:kern w:val="0"/>
          <w:sz w:val="24"/>
          <w:szCs w:val="24"/>
          <w:u w:val="none"/>
          <w:lang w:val="en-US" w:eastAsia="zh-CN"/>
        </w:rPr>
        <w:t>（三）未婚女职工体检报价表（</w:t>
      </w:r>
      <w:r>
        <w:rPr>
          <w:rFonts w:hint="eastAsia" w:ascii="宋体" w:hAnsi="宋体" w:cs="宋体"/>
          <w:b/>
          <w:bCs w:val="0"/>
          <w:i w:val="0"/>
          <w:color w:val="auto"/>
          <w:kern w:val="0"/>
          <w:sz w:val="24"/>
          <w:szCs w:val="24"/>
          <w:u w:val="none"/>
          <w:lang w:val="en-US" w:eastAsia="zh-CN"/>
        </w:rPr>
        <w:t>26</w:t>
      </w:r>
      <w:r>
        <w:rPr>
          <w:rFonts w:hint="eastAsia" w:ascii="宋体" w:hAnsi="宋体" w:eastAsia="宋体" w:cs="宋体"/>
          <w:b/>
          <w:bCs w:val="0"/>
          <w:i w:val="0"/>
          <w:color w:val="auto"/>
          <w:kern w:val="0"/>
          <w:sz w:val="24"/>
          <w:szCs w:val="24"/>
          <w:u w:val="none"/>
          <w:lang w:val="en-US" w:eastAsia="zh-CN"/>
        </w:rPr>
        <w:t>人）</w:t>
      </w:r>
      <w:r>
        <w:rPr>
          <w:rFonts w:hint="eastAsia" w:ascii="宋体" w:hAnsi="宋体" w:eastAsia="宋体" w:cs="宋体"/>
          <w:b/>
          <w:bCs w:val="0"/>
          <w:i w:val="0"/>
          <w:color w:val="auto"/>
          <w:kern w:val="0"/>
          <w:sz w:val="28"/>
          <w:szCs w:val="28"/>
          <w:u w:val="none"/>
          <w:lang w:val="en-US" w:eastAsia="zh-CN"/>
        </w:rPr>
        <w:t xml:space="preserve"> </w:t>
      </w:r>
    </w:p>
    <w:tbl>
      <w:tblPr>
        <w:tblStyle w:val="7"/>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7"/>
        <w:gridCol w:w="2609"/>
        <w:gridCol w:w="4138"/>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乳腺手检</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乳腺检查的基础项目，含乳房视诊和触诊：视诊观察乳腺外形、皮肤、乳头，腋窝、锁骨上下，触诊检查乳腺和腋窝是否有肿块和肿大淋巴结。</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双肾输尿管膀胱彩超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查子宫、附件的状况，以发现卵巢肿瘤、子宫肌瘤与盆腔炎等。 </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6</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双侧乳腺彩超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7</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8</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低剂量肺部平扫CT</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肾功五项（血清尿素、血清肌酐、血清胱抑素C、血清β2微球蛋白β2-MG、尿酸）</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15</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16</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17</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18</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20</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粪便常规+OB+肝吸虫集卵</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常规粪便有形成分检验，隐血试验可协助消化道出血或早期肿瘤的筛查，寄生虫卵的检验。</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2"/>
                <w:szCs w:val="22"/>
                <w:u w:val="none"/>
              </w:rPr>
            </w:pPr>
          </w:p>
        </w:tc>
      </w:tr>
    </w:tbl>
    <w:p>
      <w:pPr>
        <w:widowControl/>
        <w:spacing w:line="520" w:lineRule="exact"/>
        <w:ind w:firstLine="560"/>
        <w:textAlignment w:val="center"/>
        <w:rPr>
          <w:rFonts w:hint="eastAsia" w:ascii="宋体" w:hAnsi="宋体" w:eastAsia="宋体"/>
          <w:color w:val="auto"/>
          <w:kern w:val="0"/>
          <w:sz w:val="28"/>
        </w:rPr>
      </w:pPr>
    </w:p>
    <w:p>
      <w:pPr>
        <w:widowControl/>
        <w:numPr>
          <w:ilvl w:val="0"/>
          <w:numId w:val="0"/>
        </w:numPr>
        <w:spacing w:line="520" w:lineRule="exact"/>
        <w:ind w:leftChars="0"/>
        <w:textAlignment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以上（一）至（三）项体检报价总数：</w:t>
      </w:r>
      <w:r>
        <w:rPr>
          <w:rFonts w:hint="eastAsia" w:ascii="宋体" w:hAnsi="宋体" w:eastAsia="宋体" w:cs="宋体"/>
          <w:b/>
          <w:bCs/>
          <w:kern w:val="0"/>
          <w:sz w:val="28"/>
          <w:szCs w:val="28"/>
          <w:u w:val="single"/>
          <w:lang w:val="en-US" w:eastAsia="zh-CN"/>
        </w:rPr>
        <w:t xml:space="preserve">      </w:t>
      </w:r>
      <w:r>
        <w:rPr>
          <w:rFonts w:hint="eastAsia" w:ascii="宋体" w:hAnsi="宋体" w:eastAsia="宋体" w:cs="宋体"/>
          <w:b/>
          <w:bCs/>
          <w:kern w:val="0"/>
          <w:sz w:val="28"/>
          <w:szCs w:val="28"/>
          <w:lang w:val="en-US" w:eastAsia="zh-CN"/>
        </w:rPr>
        <w:t>元（大写：</w:t>
      </w:r>
      <w:r>
        <w:rPr>
          <w:rFonts w:hint="eastAsia" w:ascii="宋体" w:hAnsi="宋体" w:eastAsia="宋体" w:cs="宋体"/>
          <w:b/>
          <w:bCs/>
          <w:kern w:val="0"/>
          <w:sz w:val="28"/>
          <w:szCs w:val="28"/>
          <w:u w:val="single"/>
          <w:lang w:val="en-US" w:eastAsia="zh-CN"/>
        </w:rPr>
        <w:t xml:space="preserve">                </w:t>
      </w:r>
      <w:r>
        <w:rPr>
          <w:rFonts w:hint="eastAsia" w:ascii="宋体" w:hAnsi="宋体" w:eastAsia="宋体" w:cs="宋体"/>
          <w:b/>
          <w:bCs/>
          <w:kern w:val="0"/>
          <w:sz w:val="28"/>
          <w:szCs w:val="28"/>
          <w:lang w:val="en-US" w:eastAsia="zh-CN"/>
        </w:rPr>
        <w:t>）。</w:t>
      </w:r>
    </w:p>
    <w:p>
      <w:pP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br w:type="page"/>
      </w:r>
    </w:p>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kern w:val="0"/>
          <w:sz w:val="28"/>
          <w:szCs w:val="28"/>
        </w:rPr>
        <w:t>职工住宿、餐饮</w:t>
      </w:r>
      <w:r>
        <w:rPr>
          <w:rFonts w:hint="eastAsia" w:ascii="宋体" w:hAnsi="宋体" w:eastAsia="宋体" w:cs="宋体"/>
          <w:b/>
          <w:bCs/>
          <w:color w:val="000000"/>
          <w:kern w:val="0"/>
          <w:sz w:val="28"/>
          <w:szCs w:val="28"/>
          <w:lang w:eastAsia="zh-CN"/>
        </w:rPr>
        <w:t>报</w:t>
      </w:r>
      <w:r>
        <w:rPr>
          <w:rFonts w:hint="eastAsia" w:ascii="宋体" w:hAnsi="宋体" w:eastAsia="宋体" w:cs="宋体"/>
          <w:b/>
          <w:bCs/>
          <w:color w:val="000000"/>
          <w:kern w:val="0"/>
          <w:sz w:val="28"/>
          <w:szCs w:val="28"/>
        </w:rPr>
        <w:t>价表</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单位:元</w:t>
      </w:r>
    </w:p>
    <w:tbl>
      <w:tblPr>
        <w:tblStyle w:val="7"/>
        <w:tblW w:w="10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161"/>
        <w:gridCol w:w="966"/>
        <w:gridCol w:w="1351"/>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内 容</w:t>
            </w:r>
          </w:p>
        </w:tc>
        <w:tc>
          <w:tcPr>
            <w:tcW w:w="1161" w:type="dxa"/>
            <w:noWrap w:val="0"/>
            <w:vAlign w:val="center"/>
          </w:tcPr>
          <w:p>
            <w:pPr>
              <w:jc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sz w:val="20"/>
                <w:szCs w:val="20"/>
              </w:rPr>
              <w:t>人 数</w:t>
            </w:r>
          </w:p>
        </w:tc>
        <w:tc>
          <w:tcPr>
            <w:tcW w:w="966"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单 价</w:t>
            </w:r>
          </w:p>
        </w:tc>
        <w:tc>
          <w:tcPr>
            <w:tcW w:w="1351"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小  计</w:t>
            </w:r>
          </w:p>
        </w:tc>
        <w:tc>
          <w:tcPr>
            <w:tcW w:w="5203"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住宿费</w:t>
            </w:r>
          </w:p>
        </w:tc>
        <w:tc>
          <w:tcPr>
            <w:tcW w:w="1161" w:type="dxa"/>
            <w:noWrap w:val="0"/>
            <w:vAlign w:val="center"/>
          </w:tcPr>
          <w:p>
            <w:pPr>
              <w:jc w:val="center"/>
              <w:rPr>
                <w:rFonts w:hint="default" w:ascii="宋体" w:hAnsi="宋体" w:eastAsia="宋体" w:cs="宋体"/>
                <w:bCs/>
                <w:color w:val="000000"/>
                <w:sz w:val="20"/>
                <w:szCs w:val="20"/>
                <w:lang w:val="en-US" w:eastAsia="zh-CN"/>
              </w:rPr>
            </w:pPr>
            <w:r>
              <w:rPr>
                <w:rFonts w:hint="eastAsia" w:ascii="宋体" w:hAnsi="宋体" w:eastAsia="宋体" w:cs="宋体"/>
                <w:bCs/>
                <w:color w:val="000000"/>
                <w:sz w:val="20"/>
                <w:szCs w:val="20"/>
                <w:lang w:val="en-US" w:eastAsia="zh-CN"/>
              </w:rPr>
              <w:t>15</w:t>
            </w:r>
            <w:r>
              <w:rPr>
                <w:rFonts w:hint="eastAsia" w:ascii="宋体" w:hAnsi="宋体" w:cs="宋体"/>
                <w:bCs/>
                <w:color w:val="000000"/>
                <w:sz w:val="20"/>
                <w:szCs w:val="20"/>
                <w:lang w:val="en-US" w:eastAsia="zh-CN"/>
              </w:rPr>
              <w:t>5</w:t>
            </w:r>
          </w:p>
        </w:tc>
        <w:tc>
          <w:tcPr>
            <w:tcW w:w="966" w:type="dxa"/>
            <w:noWrap w:val="0"/>
            <w:vAlign w:val="center"/>
          </w:tcPr>
          <w:p>
            <w:pPr>
              <w:jc w:val="center"/>
              <w:rPr>
                <w:rFonts w:hint="eastAsia" w:ascii="宋体" w:hAnsi="宋体" w:eastAsia="宋体" w:cs="宋体"/>
                <w:bCs/>
                <w:color w:val="000000"/>
                <w:sz w:val="20"/>
                <w:szCs w:val="20"/>
              </w:rPr>
            </w:pPr>
          </w:p>
        </w:tc>
        <w:tc>
          <w:tcPr>
            <w:tcW w:w="1351" w:type="dxa"/>
            <w:noWrap w:val="0"/>
            <w:vAlign w:val="center"/>
          </w:tcPr>
          <w:p>
            <w:pPr>
              <w:jc w:val="center"/>
              <w:rPr>
                <w:rFonts w:hint="eastAsia" w:ascii="宋体" w:hAnsi="宋体" w:eastAsia="宋体" w:cs="宋体"/>
                <w:bCs/>
                <w:color w:val="000000"/>
                <w:sz w:val="20"/>
                <w:szCs w:val="20"/>
              </w:rPr>
            </w:pPr>
          </w:p>
        </w:tc>
        <w:tc>
          <w:tcPr>
            <w:tcW w:w="5203" w:type="dxa"/>
            <w:noWrap w:val="0"/>
            <w:vAlign w:val="center"/>
          </w:tcPr>
          <w:p>
            <w:pPr>
              <w:jc w:val="center"/>
              <w:rPr>
                <w:rFonts w:hint="eastAsia" w:ascii="宋体" w:hAnsi="宋体" w:eastAsia="宋体" w:cs="宋体"/>
                <w:bCs/>
                <w:color w:val="000000"/>
                <w:sz w:val="20"/>
                <w:szCs w:val="20"/>
              </w:rPr>
            </w:pPr>
            <w:r>
              <w:rPr>
                <w:rFonts w:hint="eastAsia" w:ascii="宋体" w:hAnsi="宋体" w:eastAsia="宋体" w:cs="宋体"/>
                <w:color w:val="000000"/>
                <w:sz w:val="20"/>
                <w:szCs w:val="20"/>
              </w:rPr>
              <w:t>住一晚，不超 200元/人/日的标准。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餐饮费</w:t>
            </w:r>
          </w:p>
        </w:tc>
        <w:tc>
          <w:tcPr>
            <w:tcW w:w="1161" w:type="dxa"/>
            <w:noWrap w:val="0"/>
            <w:vAlign w:val="center"/>
          </w:tcPr>
          <w:p>
            <w:pPr>
              <w:jc w:val="center"/>
              <w:rPr>
                <w:rFonts w:hint="default" w:ascii="宋体" w:hAnsi="宋体" w:eastAsia="宋体" w:cs="宋体"/>
                <w:bCs/>
                <w:color w:val="000000"/>
                <w:sz w:val="20"/>
                <w:szCs w:val="20"/>
                <w:lang w:val="en-US" w:eastAsia="zh-CN"/>
              </w:rPr>
            </w:pPr>
            <w:r>
              <w:rPr>
                <w:rFonts w:hint="eastAsia" w:ascii="宋体" w:hAnsi="宋体" w:eastAsia="宋体" w:cs="宋体"/>
                <w:bCs/>
                <w:color w:val="000000"/>
                <w:sz w:val="20"/>
                <w:szCs w:val="20"/>
                <w:lang w:val="en-US" w:eastAsia="zh-CN"/>
              </w:rPr>
              <w:t>15</w:t>
            </w:r>
            <w:r>
              <w:rPr>
                <w:rFonts w:hint="eastAsia" w:ascii="宋体" w:hAnsi="宋体" w:cs="宋体"/>
                <w:bCs/>
                <w:color w:val="000000"/>
                <w:sz w:val="20"/>
                <w:szCs w:val="20"/>
                <w:lang w:val="en-US" w:eastAsia="zh-CN"/>
              </w:rPr>
              <w:t>5</w:t>
            </w:r>
          </w:p>
        </w:tc>
        <w:tc>
          <w:tcPr>
            <w:tcW w:w="966" w:type="dxa"/>
            <w:noWrap w:val="0"/>
            <w:vAlign w:val="center"/>
          </w:tcPr>
          <w:p>
            <w:pPr>
              <w:jc w:val="center"/>
              <w:rPr>
                <w:rFonts w:hint="eastAsia" w:ascii="宋体" w:hAnsi="宋体" w:eastAsia="宋体" w:cs="宋体"/>
                <w:bCs/>
                <w:color w:val="000000"/>
                <w:sz w:val="20"/>
                <w:szCs w:val="20"/>
              </w:rPr>
            </w:pPr>
          </w:p>
        </w:tc>
        <w:tc>
          <w:tcPr>
            <w:tcW w:w="1351" w:type="dxa"/>
            <w:noWrap w:val="0"/>
            <w:vAlign w:val="center"/>
          </w:tcPr>
          <w:p>
            <w:pPr>
              <w:jc w:val="center"/>
              <w:rPr>
                <w:rFonts w:hint="eastAsia" w:ascii="宋体" w:hAnsi="宋体" w:eastAsia="宋体" w:cs="宋体"/>
                <w:bCs/>
                <w:color w:val="000000"/>
                <w:sz w:val="20"/>
                <w:szCs w:val="20"/>
              </w:rPr>
            </w:pPr>
          </w:p>
        </w:tc>
        <w:tc>
          <w:tcPr>
            <w:tcW w:w="5203" w:type="dxa"/>
            <w:noWrap w:val="0"/>
            <w:vAlign w:val="center"/>
          </w:tcPr>
          <w:p>
            <w:pPr>
              <w:jc w:val="center"/>
              <w:rPr>
                <w:rFonts w:hint="eastAsia" w:ascii="宋体" w:hAnsi="宋体" w:eastAsia="宋体" w:cs="宋体"/>
                <w:bCs/>
                <w:color w:val="000000"/>
                <w:sz w:val="20"/>
                <w:szCs w:val="20"/>
                <w:lang w:eastAsia="zh-CN"/>
              </w:rPr>
            </w:pPr>
            <w:r>
              <w:rPr>
                <w:rFonts w:hint="eastAsia" w:ascii="宋体" w:hAnsi="宋体" w:eastAsia="宋体" w:cs="宋体"/>
                <w:color w:val="000000"/>
                <w:sz w:val="20"/>
                <w:szCs w:val="20"/>
              </w:rPr>
              <w:t>三个正餐一个早餐，正餐围餐，不超140元/人的标准</w:t>
            </w:r>
            <w:r>
              <w:rPr>
                <w:rFonts w:hint="eastAsia" w:ascii="宋体" w:hAnsi="宋体" w:cs="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161" w:type="dxa"/>
            <w:noWrap w:val="0"/>
            <w:vAlign w:val="center"/>
          </w:tcPr>
          <w:p>
            <w:pPr>
              <w:jc w:val="center"/>
              <w:rPr>
                <w:rFonts w:hint="eastAsia" w:ascii="宋体" w:hAnsi="宋体" w:eastAsia="宋体" w:cs="宋体"/>
                <w:b/>
                <w:bCs/>
                <w:color w:val="000000"/>
                <w:sz w:val="20"/>
                <w:szCs w:val="20"/>
              </w:rPr>
            </w:pPr>
          </w:p>
        </w:tc>
        <w:tc>
          <w:tcPr>
            <w:tcW w:w="966" w:type="dxa"/>
            <w:noWrap w:val="0"/>
            <w:vAlign w:val="center"/>
          </w:tcPr>
          <w:p>
            <w:pPr>
              <w:jc w:val="center"/>
              <w:rPr>
                <w:rFonts w:hint="eastAsia" w:ascii="宋体" w:hAnsi="宋体" w:eastAsia="宋体" w:cs="宋体"/>
                <w:b/>
                <w:bCs/>
                <w:color w:val="000000"/>
                <w:sz w:val="20"/>
                <w:szCs w:val="20"/>
              </w:rPr>
            </w:pPr>
          </w:p>
        </w:tc>
        <w:tc>
          <w:tcPr>
            <w:tcW w:w="1351" w:type="dxa"/>
            <w:noWrap w:val="0"/>
            <w:vAlign w:val="center"/>
          </w:tcPr>
          <w:p>
            <w:pPr>
              <w:jc w:val="center"/>
              <w:rPr>
                <w:rFonts w:hint="eastAsia" w:ascii="宋体" w:hAnsi="宋体" w:eastAsia="宋体" w:cs="宋体"/>
                <w:bCs/>
                <w:color w:val="000000"/>
                <w:sz w:val="20"/>
                <w:szCs w:val="20"/>
              </w:rPr>
            </w:pPr>
          </w:p>
        </w:tc>
        <w:tc>
          <w:tcPr>
            <w:tcW w:w="5203" w:type="dxa"/>
            <w:noWrap w:val="0"/>
            <w:vAlign w:val="center"/>
          </w:tcPr>
          <w:p>
            <w:pPr>
              <w:jc w:val="center"/>
              <w:rPr>
                <w:rFonts w:hint="eastAsia" w:ascii="宋体" w:hAnsi="宋体" w:eastAsia="宋体" w:cs="宋体"/>
                <w:bCs/>
                <w:color w:val="000000"/>
                <w:sz w:val="20"/>
                <w:szCs w:val="20"/>
              </w:rPr>
            </w:pPr>
          </w:p>
        </w:tc>
      </w:tr>
    </w:tbl>
    <w:p>
      <w:pPr>
        <w:widowControl/>
        <w:spacing w:line="520" w:lineRule="exact"/>
        <w:textAlignment w:val="center"/>
        <w:rPr>
          <w:rFonts w:hint="eastAsia" w:ascii="宋体" w:hAnsi="宋体" w:eastAsia="宋体" w:cs="宋体"/>
          <w:color w:val="000000"/>
          <w:kern w:val="0"/>
        </w:rPr>
      </w:pPr>
    </w:p>
    <w:p>
      <w:pPr>
        <w:rPr>
          <w:rFonts w:hint="eastAsia" w:ascii="宋体" w:hAnsi="宋体" w:eastAsia="宋体" w:cs="宋体"/>
          <w:b/>
          <w:bCs/>
          <w:color w:val="000000"/>
          <w:szCs w:val="32"/>
        </w:rPr>
      </w:pPr>
      <w:r>
        <w:rPr>
          <w:rFonts w:hint="eastAsia" w:ascii="宋体" w:hAnsi="宋体" w:eastAsia="宋体" w:cs="宋体"/>
          <w:b/>
          <w:bCs/>
          <w:color w:val="000000"/>
          <w:sz w:val="28"/>
          <w:szCs w:val="28"/>
          <w:lang w:val="en-US" w:eastAsia="zh-CN"/>
        </w:rPr>
        <w:t>（五）交通</w:t>
      </w:r>
      <w:r>
        <w:rPr>
          <w:rFonts w:hint="eastAsia" w:ascii="宋体" w:hAnsi="宋体" w:eastAsia="宋体" w:cs="宋体"/>
          <w:b/>
          <w:bCs/>
          <w:color w:val="000000"/>
          <w:kern w:val="0"/>
          <w:sz w:val="28"/>
          <w:szCs w:val="28"/>
          <w:lang w:eastAsia="zh-CN"/>
        </w:rPr>
        <w:t>报</w:t>
      </w:r>
      <w:r>
        <w:rPr>
          <w:rFonts w:hint="eastAsia" w:ascii="宋体" w:hAnsi="宋体" w:eastAsia="宋体" w:cs="宋体"/>
          <w:b/>
          <w:bCs/>
          <w:color w:val="000000"/>
          <w:kern w:val="0"/>
          <w:sz w:val="28"/>
          <w:szCs w:val="28"/>
        </w:rPr>
        <w:t xml:space="preserve">价表 </w:t>
      </w:r>
      <w:r>
        <w:rPr>
          <w:rFonts w:hint="eastAsia" w:ascii="宋体" w:hAnsi="宋体" w:eastAsia="宋体" w:cs="宋体"/>
          <w:b/>
          <w:bCs/>
          <w:color w:val="000000"/>
          <w:kern w:val="0"/>
          <w:sz w:val="28"/>
        </w:rPr>
        <w:t xml:space="preserve">                  </w:t>
      </w:r>
      <w:r>
        <w:rPr>
          <w:rFonts w:hint="eastAsia" w:ascii="宋体" w:hAnsi="宋体" w:cs="宋体"/>
          <w:b/>
          <w:bCs/>
          <w:color w:val="000000"/>
          <w:kern w:val="0"/>
          <w:sz w:val="28"/>
          <w:lang w:val="en-US" w:eastAsia="zh-CN"/>
        </w:rPr>
        <w:t xml:space="preserve">                    </w:t>
      </w:r>
      <w:r>
        <w:rPr>
          <w:rFonts w:hint="eastAsia" w:ascii="宋体" w:hAnsi="宋体" w:eastAsia="宋体" w:cs="宋体"/>
          <w:b/>
          <w:bCs/>
          <w:color w:val="000000"/>
          <w:kern w:val="0"/>
          <w:sz w:val="28"/>
        </w:rPr>
        <w:t>单位:元</w:t>
      </w:r>
    </w:p>
    <w:tbl>
      <w:tblPr>
        <w:tblStyle w:val="7"/>
        <w:tblW w:w="9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1100"/>
        <w:gridCol w:w="1170"/>
        <w:gridCol w:w="1341"/>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365" w:type="dxa"/>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内 容</w:t>
            </w:r>
          </w:p>
        </w:tc>
        <w:tc>
          <w:tcPr>
            <w:tcW w:w="1100" w:type="dxa"/>
            <w:noWrap w:val="0"/>
            <w:vAlign w:val="center"/>
          </w:tcPr>
          <w:p>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辆</w:t>
            </w:r>
          </w:p>
        </w:tc>
        <w:tc>
          <w:tcPr>
            <w:tcW w:w="1170" w:type="dxa"/>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单 价</w:t>
            </w:r>
          </w:p>
        </w:tc>
        <w:tc>
          <w:tcPr>
            <w:tcW w:w="1341" w:type="dxa"/>
            <w:noWrap w:val="0"/>
            <w:vAlign w:val="center"/>
          </w:tcPr>
          <w:p>
            <w:pPr>
              <w:jc w:val="center"/>
              <w:rPr>
                <w:rFonts w:hint="eastAsia"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小 计</w:t>
            </w:r>
          </w:p>
        </w:tc>
        <w:tc>
          <w:tcPr>
            <w:tcW w:w="3059" w:type="dxa"/>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365" w:type="dxa"/>
            <w:noWrap w:val="0"/>
            <w:vAlign w:val="center"/>
          </w:tcPr>
          <w:p>
            <w:pPr>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40座以上大型客车</w:t>
            </w:r>
          </w:p>
        </w:tc>
        <w:tc>
          <w:tcPr>
            <w:tcW w:w="1100" w:type="dxa"/>
            <w:noWrap w:val="0"/>
            <w:vAlign w:val="center"/>
          </w:tcPr>
          <w:p>
            <w:pPr>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4</w:t>
            </w:r>
          </w:p>
        </w:tc>
        <w:tc>
          <w:tcPr>
            <w:tcW w:w="1170" w:type="dxa"/>
            <w:noWrap w:val="0"/>
            <w:vAlign w:val="center"/>
          </w:tcPr>
          <w:p>
            <w:pPr>
              <w:jc w:val="center"/>
              <w:rPr>
                <w:rFonts w:hint="eastAsia" w:ascii="宋体" w:hAnsi="宋体" w:eastAsia="宋体" w:cs="宋体"/>
                <w:bCs/>
                <w:color w:val="auto"/>
                <w:sz w:val="22"/>
                <w:szCs w:val="22"/>
              </w:rPr>
            </w:pPr>
          </w:p>
        </w:tc>
        <w:tc>
          <w:tcPr>
            <w:tcW w:w="1341" w:type="dxa"/>
            <w:noWrap w:val="0"/>
            <w:vAlign w:val="center"/>
          </w:tcPr>
          <w:p>
            <w:pPr>
              <w:jc w:val="center"/>
              <w:rPr>
                <w:rFonts w:hint="eastAsia" w:ascii="宋体" w:hAnsi="宋体" w:eastAsia="宋体" w:cs="宋体"/>
                <w:bCs/>
                <w:color w:val="auto"/>
                <w:sz w:val="22"/>
                <w:szCs w:val="22"/>
              </w:rPr>
            </w:pPr>
          </w:p>
        </w:tc>
        <w:tc>
          <w:tcPr>
            <w:tcW w:w="3059" w:type="dxa"/>
            <w:noWrap w:val="0"/>
            <w:vAlign w:val="center"/>
          </w:tcPr>
          <w:p>
            <w:pPr>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不超1400元/日/辆的标准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365" w:type="dxa"/>
            <w:noWrap w:val="0"/>
            <w:vAlign w:val="center"/>
          </w:tcPr>
          <w:p>
            <w:pPr>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10-25座中型客车</w:t>
            </w:r>
          </w:p>
        </w:tc>
        <w:tc>
          <w:tcPr>
            <w:tcW w:w="1100" w:type="dxa"/>
            <w:noWrap w:val="0"/>
            <w:vAlign w:val="center"/>
          </w:tcPr>
          <w:p>
            <w:pPr>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4</w:t>
            </w:r>
          </w:p>
        </w:tc>
        <w:tc>
          <w:tcPr>
            <w:tcW w:w="1170" w:type="dxa"/>
            <w:noWrap w:val="0"/>
            <w:vAlign w:val="center"/>
          </w:tcPr>
          <w:p>
            <w:pPr>
              <w:jc w:val="center"/>
              <w:rPr>
                <w:rFonts w:hint="eastAsia" w:ascii="宋体" w:hAnsi="宋体" w:eastAsia="宋体" w:cs="宋体"/>
                <w:bCs/>
                <w:color w:val="auto"/>
                <w:sz w:val="22"/>
                <w:szCs w:val="22"/>
              </w:rPr>
            </w:pPr>
          </w:p>
        </w:tc>
        <w:tc>
          <w:tcPr>
            <w:tcW w:w="1341" w:type="dxa"/>
            <w:noWrap w:val="0"/>
            <w:vAlign w:val="center"/>
          </w:tcPr>
          <w:p>
            <w:pPr>
              <w:jc w:val="center"/>
              <w:rPr>
                <w:rFonts w:hint="eastAsia" w:ascii="宋体" w:hAnsi="宋体" w:eastAsia="宋体" w:cs="宋体"/>
                <w:bCs/>
                <w:color w:val="auto"/>
                <w:sz w:val="22"/>
                <w:szCs w:val="22"/>
              </w:rPr>
            </w:pPr>
          </w:p>
        </w:tc>
        <w:tc>
          <w:tcPr>
            <w:tcW w:w="3059" w:type="dxa"/>
            <w:noWrap w:val="0"/>
            <w:vAlign w:val="center"/>
          </w:tcPr>
          <w:p>
            <w:pPr>
              <w:jc w:val="center"/>
              <w:rPr>
                <w:rFonts w:hint="eastAsia" w:ascii="宋体" w:hAnsi="宋体" w:eastAsia="宋体" w:cs="宋体"/>
                <w:bCs/>
                <w:color w:val="auto"/>
                <w:sz w:val="22"/>
                <w:szCs w:val="22"/>
              </w:rPr>
            </w:pPr>
            <w:r>
              <w:rPr>
                <w:rFonts w:hint="eastAsia" w:ascii="宋体" w:hAnsi="宋体" w:cs="宋体"/>
                <w:bCs/>
                <w:color w:val="auto"/>
                <w:sz w:val="22"/>
                <w:szCs w:val="22"/>
                <w:lang w:val="en-US" w:eastAsia="zh-CN"/>
              </w:rPr>
              <w:t>不超900元/日/辆的标准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65" w:type="dxa"/>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合计</w:t>
            </w:r>
          </w:p>
        </w:tc>
        <w:tc>
          <w:tcPr>
            <w:tcW w:w="1100" w:type="dxa"/>
            <w:noWrap w:val="0"/>
            <w:vAlign w:val="center"/>
          </w:tcPr>
          <w:p>
            <w:pPr>
              <w:jc w:val="center"/>
              <w:rPr>
                <w:rFonts w:hint="eastAsia" w:ascii="宋体" w:hAnsi="宋体" w:eastAsia="宋体" w:cs="宋体"/>
                <w:b/>
                <w:bCs/>
                <w:color w:val="auto"/>
                <w:sz w:val="22"/>
                <w:szCs w:val="22"/>
              </w:rPr>
            </w:pPr>
          </w:p>
        </w:tc>
        <w:tc>
          <w:tcPr>
            <w:tcW w:w="1170" w:type="dxa"/>
            <w:noWrap w:val="0"/>
            <w:vAlign w:val="center"/>
          </w:tcPr>
          <w:p>
            <w:pPr>
              <w:jc w:val="center"/>
              <w:rPr>
                <w:rFonts w:hint="eastAsia" w:ascii="宋体" w:hAnsi="宋体" w:eastAsia="宋体" w:cs="宋体"/>
                <w:b/>
                <w:bCs/>
                <w:color w:val="auto"/>
                <w:sz w:val="22"/>
                <w:szCs w:val="22"/>
              </w:rPr>
            </w:pPr>
          </w:p>
        </w:tc>
        <w:tc>
          <w:tcPr>
            <w:tcW w:w="1341" w:type="dxa"/>
            <w:noWrap w:val="0"/>
            <w:vAlign w:val="center"/>
          </w:tcPr>
          <w:p>
            <w:pPr>
              <w:jc w:val="center"/>
              <w:rPr>
                <w:rFonts w:hint="eastAsia" w:ascii="宋体" w:hAnsi="宋体" w:eastAsia="宋体" w:cs="宋体"/>
                <w:b/>
                <w:bCs/>
                <w:color w:val="auto"/>
                <w:sz w:val="22"/>
                <w:szCs w:val="22"/>
              </w:rPr>
            </w:pPr>
          </w:p>
        </w:tc>
        <w:tc>
          <w:tcPr>
            <w:tcW w:w="3059" w:type="dxa"/>
            <w:noWrap w:val="0"/>
            <w:vAlign w:val="center"/>
          </w:tcPr>
          <w:p>
            <w:pPr>
              <w:jc w:val="center"/>
              <w:rPr>
                <w:rFonts w:hint="eastAsia" w:ascii="宋体" w:hAnsi="宋体" w:eastAsia="宋体" w:cs="宋体"/>
                <w:bCs/>
                <w:color w:val="auto"/>
                <w:sz w:val="22"/>
                <w:szCs w:val="22"/>
              </w:rPr>
            </w:pPr>
          </w:p>
        </w:tc>
      </w:tr>
    </w:tbl>
    <w:p>
      <w:pPr>
        <w:widowControl/>
        <w:spacing w:line="520" w:lineRule="exact"/>
        <w:textAlignment w:val="center"/>
        <w:rPr>
          <w:rFonts w:hint="eastAsia" w:ascii="宋体" w:hAnsi="宋体"/>
          <w:color w:val="auto"/>
          <w:kern w:val="0"/>
          <w:sz w:val="28"/>
          <w:lang w:eastAsia="zh-CN"/>
        </w:rPr>
      </w:pPr>
    </w:p>
    <w:p>
      <w:pPr>
        <w:widowControl/>
        <w:spacing w:line="520" w:lineRule="exact"/>
        <w:textAlignment w:val="center"/>
        <w:rPr>
          <w:rFonts w:hint="eastAsia" w:ascii="宋体" w:hAnsi="宋体"/>
          <w:color w:val="auto"/>
          <w:kern w:val="0"/>
          <w:sz w:val="28"/>
          <w:u w:val="none"/>
          <w:lang w:val="en-US" w:eastAsia="zh-CN"/>
        </w:rPr>
      </w:pPr>
      <w:r>
        <w:rPr>
          <w:rFonts w:hint="eastAsia" w:ascii="宋体" w:hAnsi="宋体"/>
          <w:color w:val="auto"/>
          <w:kern w:val="0"/>
          <w:sz w:val="28"/>
          <w:lang w:eastAsia="zh-CN"/>
        </w:rPr>
        <w:t>以上（一）至（五）项报价总价合计：</w:t>
      </w:r>
      <w:r>
        <w:rPr>
          <w:rFonts w:hint="eastAsia" w:ascii="宋体" w:hAnsi="宋体"/>
          <w:color w:val="auto"/>
          <w:kern w:val="0"/>
          <w:sz w:val="28"/>
          <w:u w:val="single"/>
          <w:lang w:val="en-US" w:eastAsia="zh-CN"/>
        </w:rPr>
        <w:t xml:space="preserve">         </w:t>
      </w:r>
      <w:r>
        <w:rPr>
          <w:rFonts w:hint="eastAsia" w:ascii="宋体" w:hAnsi="宋体"/>
          <w:color w:val="auto"/>
          <w:kern w:val="0"/>
          <w:sz w:val="28"/>
          <w:u w:val="none"/>
          <w:lang w:val="en-US" w:eastAsia="zh-CN"/>
        </w:rPr>
        <w:t>元（大写：</w:t>
      </w:r>
      <w:r>
        <w:rPr>
          <w:rFonts w:hint="eastAsia" w:ascii="宋体" w:hAnsi="宋体"/>
          <w:color w:val="auto"/>
          <w:kern w:val="0"/>
          <w:sz w:val="28"/>
          <w:u w:val="single"/>
          <w:lang w:val="en-US" w:eastAsia="zh-CN"/>
        </w:rPr>
        <w:t xml:space="preserve">               </w:t>
      </w:r>
      <w:r>
        <w:rPr>
          <w:rFonts w:hint="eastAsia" w:ascii="宋体" w:hAnsi="宋体"/>
          <w:color w:val="auto"/>
          <w:kern w:val="0"/>
          <w:sz w:val="28"/>
          <w:u w:val="none"/>
          <w:lang w:val="en-US" w:eastAsia="zh-CN"/>
        </w:rPr>
        <w:t>）。</w:t>
      </w:r>
    </w:p>
    <w:p>
      <w:pPr>
        <w:widowControl/>
        <w:spacing w:line="520" w:lineRule="exact"/>
        <w:textAlignment w:val="center"/>
        <w:rPr>
          <w:rFonts w:hint="eastAsia" w:ascii="宋体" w:hAnsi="宋体"/>
          <w:color w:val="auto"/>
          <w:kern w:val="0"/>
          <w:sz w:val="28"/>
          <w:u w:val="none"/>
          <w:lang w:val="en-US" w:eastAsia="zh-CN"/>
        </w:rPr>
      </w:pPr>
    </w:p>
    <w:p>
      <w:pPr>
        <w:widowControl/>
        <w:spacing w:line="520" w:lineRule="exact"/>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6E9C4C-8F11-4AF7-BF87-94CEA690E1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C5F48288-693B-4B54-B543-A3E6DD12FC45}"/>
  </w:font>
  <w:font w:name="仿宋_GB2312">
    <w:panose1 w:val="02010609030101010101"/>
    <w:charset w:val="86"/>
    <w:family w:val="auto"/>
    <w:pitch w:val="default"/>
    <w:sig w:usb0="00000001" w:usb1="080E0000" w:usb2="00000000" w:usb3="00000000" w:csb0="00040000" w:csb1="00000000"/>
    <w:embedRegular r:id="rId3" w:fontKey="{3776A120-385F-4D71-985B-B7F11B5DBA69}"/>
  </w:font>
  <w:font w:name="楷体">
    <w:panose1 w:val="02010609060101010101"/>
    <w:charset w:val="86"/>
    <w:family w:val="auto"/>
    <w:pitch w:val="default"/>
    <w:sig w:usb0="800002BF" w:usb1="38CF7CFA" w:usb2="00000016" w:usb3="00000000" w:csb0="00040001" w:csb1="00000000"/>
    <w:embedRegular r:id="rId4" w:fontKey="{50530D70-E252-4911-A605-0EAD06D0CB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942194"/>
    <w:rsid w:val="02EE3528"/>
    <w:rsid w:val="08733028"/>
    <w:rsid w:val="088272FC"/>
    <w:rsid w:val="099C43EE"/>
    <w:rsid w:val="09D26061"/>
    <w:rsid w:val="0A685899"/>
    <w:rsid w:val="0DC40780"/>
    <w:rsid w:val="0E4A08BC"/>
    <w:rsid w:val="0ECC7523"/>
    <w:rsid w:val="10466007"/>
    <w:rsid w:val="10B47313"/>
    <w:rsid w:val="10CA75DE"/>
    <w:rsid w:val="11FD3F00"/>
    <w:rsid w:val="12CD2B49"/>
    <w:rsid w:val="137F4B64"/>
    <w:rsid w:val="15BE09CC"/>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D6A7083"/>
    <w:rsid w:val="2EB80E48"/>
    <w:rsid w:val="308C5765"/>
    <w:rsid w:val="3190574A"/>
    <w:rsid w:val="3303384E"/>
    <w:rsid w:val="35931F53"/>
    <w:rsid w:val="38B54849"/>
    <w:rsid w:val="3B2E2096"/>
    <w:rsid w:val="3B54616D"/>
    <w:rsid w:val="3E2D328B"/>
    <w:rsid w:val="3F8344D4"/>
    <w:rsid w:val="413E168C"/>
    <w:rsid w:val="42AA7D7E"/>
    <w:rsid w:val="4335673E"/>
    <w:rsid w:val="47A31401"/>
    <w:rsid w:val="4CFB7BB3"/>
    <w:rsid w:val="4D4B7289"/>
    <w:rsid w:val="4D9B068D"/>
    <w:rsid w:val="4E524648"/>
    <w:rsid w:val="4F0D72B3"/>
    <w:rsid w:val="50234A24"/>
    <w:rsid w:val="503520A6"/>
    <w:rsid w:val="52164451"/>
    <w:rsid w:val="53037E3D"/>
    <w:rsid w:val="536117EB"/>
    <w:rsid w:val="53923E52"/>
    <w:rsid w:val="54343D2D"/>
    <w:rsid w:val="552C5E72"/>
    <w:rsid w:val="56EE5447"/>
    <w:rsid w:val="595F3972"/>
    <w:rsid w:val="5A3946CD"/>
    <w:rsid w:val="5AAC047B"/>
    <w:rsid w:val="5AB3646E"/>
    <w:rsid w:val="5C09043F"/>
    <w:rsid w:val="5D526115"/>
    <w:rsid w:val="5E2F30E9"/>
    <w:rsid w:val="5F44062B"/>
    <w:rsid w:val="5F6D372A"/>
    <w:rsid w:val="63DA3BBC"/>
    <w:rsid w:val="65032813"/>
    <w:rsid w:val="66693F2B"/>
    <w:rsid w:val="67C66814"/>
    <w:rsid w:val="6B4750DC"/>
    <w:rsid w:val="6CA15DEF"/>
    <w:rsid w:val="6F471B3B"/>
    <w:rsid w:val="71FC4C63"/>
    <w:rsid w:val="72846A8E"/>
    <w:rsid w:val="72FA5832"/>
    <w:rsid w:val="739604C1"/>
    <w:rsid w:val="74235396"/>
    <w:rsid w:val="7526598E"/>
    <w:rsid w:val="76163CCA"/>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sng1-bgs-yhf</cp:lastModifiedBy>
  <cp:lastPrinted>2021-11-13T02:35:00Z</cp:lastPrinted>
  <dcterms:modified xsi:type="dcterms:W3CDTF">2023-05-18T01:19:06Z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308EE828BB2B490A9F8FFD4FBEB69A55</vt:lpwstr>
  </property>
</Properties>
</file>