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Hlk533590101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广州市少年宫自动扶梯更新项目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采购需求清单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bookmarkStart w:id="1" w:name="_GoBack"/>
      <w:bookmarkEnd w:id="1"/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各单位：</w:t>
      </w:r>
    </w:p>
    <w:p>
      <w:pPr>
        <w:spacing w:line="520" w:lineRule="exact"/>
        <w:ind w:firstLine="56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单位就“广州市少年宫自动扶梯更新项目”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进行询价，请合格的供应商按要求予以报价。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带★项为重要参数，偏离或不响应将视为重大偏离项。</w:t>
      </w:r>
    </w:p>
    <w:p>
      <w:pPr>
        <w:widowControl/>
        <w:numPr>
          <w:ilvl w:val="0"/>
          <w:numId w:val="1"/>
        </w:numPr>
        <w:spacing w:line="520" w:lineRule="exact"/>
        <w:ind w:firstLine="56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项目范围和要求：</w:t>
      </w:r>
    </w:p>
    <w:tbl>
      <w:tblPr>
        <w:tblStyle w:val="6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4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技术配置及功能要求内容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更新自动扶梯的编号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FT1,FT2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★扶梯类型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室内变频扶梯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扶梯宽度(mm)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梯级宽度(mm)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额定速度(m/s)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服务楼层铭牌显示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1F~2F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提升高度(mm)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倾斜角度(°）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投影长度(mm)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15100（以现场实测为准）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水平级数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★驱动方式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三相交流感应电动机和高精度斜齿轮减速箱组成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布置方式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两台并列布置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前沿板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304不锈钢（带防滑槽，黑色涂装）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不低于1.8mm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★围裙板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一体成型304发纹不锈钢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厚度不低于2.0mm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★内外盖板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一体成型304发纹不锈钢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厚度不低于1.5mm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★扶手导轨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304发纹不锈钢，厚度不低于1.5mm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扶手高度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内侧板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8mm透明钢化玻璃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扶手带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合成橡胶（黑色）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梳齿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梯级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不锈钢（黑色涂装）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梯级嵌条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三侧黄色模塑嵌条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运行指示器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内盖板嵌入型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裙板防夹装置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毛刷式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梯级下照明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LED照明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梳齿照明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LED照明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★乘客感应装置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智能传感器+对射光电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电缆规格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低烟无卤阻燃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中间支撑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★桁架外装潢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一体成型304发纹不锈钢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厚度不低于1.0mm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安全装置及功能要求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附加制动器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弯曲导轨安全装置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乘客感应装置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消防停止运行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消防停止反馈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扶手带断带保护装置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智能早晚安全自动开关梯与故障预诊断功能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扶手带智能紫外线杀菌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制动力矩自我诊断及主动维保提示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变频器温度自我诊断及主动维保提示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照明自动控制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自动加油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配置自动润滑系统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自动加油油位报警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远程控制停止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远程控制启动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低速待机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围裙板安全装置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自动扶梯乘客危险行为识别及警示（出口拥堵）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自动扶梯乘客危险行为识别及警示（孩童在扶手入口区域玩耍）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主轴直接检测的超速及非操纵逆转保护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围裙防夹安全装置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驱动站和转向站急停安全装置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梯级下陷安全装置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盖板防盗报警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附加制动器动作监测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变频装置过热保护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轻载节能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非操纵逆转保护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客流分析服务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梯级缺失保护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驱动链安全装置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扶手带速度检测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扶手带去静电装置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1.2倍超速保护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1.4倍超速保护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旁路变频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逆向进入警告运行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扶手入口安全装置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梯级链安全装置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梯级去静电装置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安全装置代码显示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梳齿板安全装置（可检测梳齿上抬、向后移动两个方向的动作）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梯级滚轮和梯级链滚轮的轴承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滚动轴承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工作制动器摩擦片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两副或以上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梯路导轨结构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需包含上、下两层的型腔结构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楼层板边框宽度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与扶梯等宽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扶手传动链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多排链条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4" w:rightChars="-23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所投扶梯产品桁架挠度＜1/1000的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77" w:rightChars="-24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防逆转检测，采用直接检测上部驱动主轴的方式</w:t>
            </w:r>
          </w:p>
        </w:tc>
      </w:tr>
      <w:bookmarkEnd w:id="0"/>
    </w:tbl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必须填写★重要参数响应偏离表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二、产品制造标准与验收标准：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（1）制造标准：GB 16899-2011 《自动扶梯和自动人行道的制造与安装安全规范》；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（2）验收标准：《自动扶梯和自动人行道监督检验规程》。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三、产品质保期及免费保养期：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自动扶梯通过政府部门验收并取证起计两年。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符合条件的供应商，均可在自愿遵守本询价采购要求的前提下进行报价，并一次性报出不得更改的价格。请严格按要求制作响应文件。所有证书类文件必须在有效期内。所有文件必须加盖公章或投标专用章。对于不符合要求的供应商所递交的报价文件，恕不接受。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五、采购方式：询价采购。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六、本次询价为整体采购，响应供应商报价时须考虑单价及总价、要求的标准，投标报价包含设备费、运输保险费、吊装费、安装调试费、扶梯外装潢费、土建修复费等交付采购人使用前所有可能发生的费用，包含人员费用、加班费、税收以及售后服务等费用，定标后不再增补任何费用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七、交货期及工期：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中标并签订合同付款后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75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天内主体安装完毕。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八、项目地点：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采购人指定的地点。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九、采购方在确定成交供应商后有权对实施的细则做适当调整。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十、服务要求：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按相关标准要求进行作业，遵守现场的作业规定及安全管理。如有需要，成交供应商需为采购方提供一年内复检一次，提供完善的服务方案。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十一、验收方法及标准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验收依据：按标准完成检测后出具相关部门认可的检测报告。</w:t>
      </w:r>
    </w:p>
    <w:p>
      <w:pPr>
        <w:pStyle w:val="5"/>
        <w:widowControl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十二、出现下列情况之一者，投标文件无效，作为废标处理：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（1）未提供营业执照有效复印件（加盖投标企业公章或投标专用章）。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（2）响应文件字迹模糊不清（包括提交的各类复印件、图纸）。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（3）响应内容、技术标准、售后服务没有实质性响应询价文件要求。</w:t>
      </w:r>
    </w:p>
    <w:p>
      <w:pPr>
        <w:pStyle w:val="5"/>
        <w:widowControl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（4）未提供响应文件、报价一览表、服务体系说明及售后服务承诺。</w:t>
      </w:r>
    </w:p>
    <w:p>
      <w:pPr>
        <w:pStyle w:val="5"/>
        <w:widowControl/>
        <w:spacing w:line="52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（5）报价低于限价的90%时，需提供专业造价公司的成本测算说明，并盖造价公司公章，否则作无效投标处理。</w:t>
      </w:r>
    </w:p>
    <w:p>
      <w:pPr>
        <w:pStyle w:val="5"/>
        <w:widowControl/>
        <w:spacing w:line="52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6C03"/>
    <w:multiLevelType w:val="singleLevel"/>
    <w:tmpl w:val="75B26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ZDUxMWJhMWY1NTFhMGExMjQ2ZmVkODkxMWUyZjAifQ=="/>
  </w:docVars>
  <w:rsids>
    <w:rsidRoot w:val="582062E9"/>
    <w:rsid w:val="00417218"/>
    <w:rsid w:val="006C1A4F"/>
    <w:rsid w:val="006E5BF7"/>
    <w:rsid w:val="007C172F"/>
    <w:rsid w:val="008B4A69"/>
    <w:rsid w:val="00C00A55"/>
    <w:rsid w:val="00C5204D"/>
    <w:rsid w:val="00D036A2"/>
    <w:rsid w:val="00D64506"/>
    <w:rsid w:val="00DF4D2A"/>
    <w:rsid w:val="00FE743C"/>
    <w:rsid w:val="06FE01C0"/>
    <w:rsid w:val="07533334"/>
    <w:rsid w:val="0B01505D"/>
    <w:rsid w:val="0C457F79"/>
    <w:rsid w:val="0D496210"/>
    <w:rsid w:val="0F0E5D07"/>
    <w:rsid w:val="10D6308E"/>
    <w:rsid w:val="11CB3BA0"/>
    <w:rsid w:val="1330637E"/>
    <w:rsid w:val="1D8F5681"/>
    <w:rsid w:val="20D663C1"/>
    <w:rsid w:val="22935EA2"/>
    <w:rsid w:val="25A12A6D"/>
    <w:rsid w:val="260D6F59"/>
    <w:rsid w:val="28B7069B"/>
    <w:rsid w:val="2A3726E5"/>
    <w:rsid w:val="2C053AF0"/>
    <w:rsid w:val="33EB2A09"/>
    <w:rsid w:val="3FE12198"/>
    <w:rsid w:val="45400D58"/>
    <w:rsid w:val="4793483F"/>
    <w:rsid w:val="49DC052E"/>
    <w:rsid w:val="4C2B5AA3"/>
    <w:rsid w:val="5038094C"/>
    <w:rsid w:val="519E7E0D"/>
    <w:rsid w:val="582062E9"/>
    <w:rsid w:val="5981738C"/>
    <w:rsid w:val="5C921C84"/>
    <w:rsid w:val="63397633"/>
    <w:rsid w:val="687E6910"/>
    <w:rsid w:val="6AA734C4"/>
    <w:rsid w:val="6E2F3A43"/>
    <w:rsid w:val="74E2659C"/>
    <w:rsid w:val="7C1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smec</Company>
  <Pages>5</Pages>
  <Words>1741</Words>
  <Characters>1849</Characters>
  <Lines>2</Lines>
  <Paragraphs>4</Paragraphs>
  <TotalTime>8</TotalTime>
  <ScaleCrop>false</ScaleCrop>
  <LinksUpToDate>false</LinksUpToDate>
  <CharactersWithSpaces>1860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2020-10-30T02:26:00Z</dcterms:created>
  <dc:creator>海</dc:creator>
  <cp:lastModifiedBy>YanYiTing_PB</cp:lastModifiedBy>
  <dcterms:modified xsi:type="dcterms:W3CDTF">2023-05-10T03:36:56Z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EDF1F4F91D694656A81F8ED527E91FC5</vt:lpwstr>
  </property>
</Properties>
</file>