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E43AB" w14:textId="77777777" w:rsidR="00245E17" w:rsidRDefault="0052434C">
      <w:pPr>
        <w:pStyle w:val="a7"/>
        <w:adjustRightInd w:val="0"/>
        <w:snapToGrid w:val="0"/>
        <w:spacing w:beforeAutospacing="0" w:afterAutospacing="0" w:line="560" w:lineRule="exac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14:paraId="7186CA70" w14:textId="77777777" w:rsidR="00245E17" w:rsidRDefault="00245E17">
      <w:pPr>
        <w:pStyle w:val="a7"/>
        <w:adjustRightInd w:val="0"/>
        <w:snapToGrid w:val="0"/>
        <w:spacing w:beforeAutospacing="0" w:afterAutospacing="0" w:line="560" w:lineRule="exact"/>
        <w:rPr>
          <w:rFonts w:ascii="Times New Roman" w:eastAsia="仿宋_GB2312" w:hAnsi="Times New Roman" w:cs="Times New Roman"/>
          <w:kern w:val="2"/>
          <w:sz w:val="32"/>
          <w:szCs w:val="32"/>
        </w:rPr>
      </w:pPr>
    </w:p>
    <w:p w14:paraId="5B112A4A" w14:textId="77777777" w:rsidR="00245E17" w:rsidRDefault="0052434C">
      <w:pPr>
        <w:pStyle w:val="a7"/>
        <w:adjustRightInd w:val="0"/>
        <w:snapToGrid w:val="0"/>
        <w:spacing w:beforeAutospacing="0" w:afterAutospacing="0" w:line="560" w:lineRule="exac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各保险公司：</w:t>
      </w:r>
    </w:p>
    <w:p w14:paraId="3C903F9C" w14:textId="5EFA3B63"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广州市少年宫在广州市设有</w:t>
      </w:r>
      <w:r>
        <w:rPr>
          <w:rFonts w:ascii="Times New Roman" w:eastAsia="仿宋_GB2312" w:hAnsi="Times New Roman" w:cs="Times New Roman" w:hint="eastAsia"/>
          <w:kern w:val="2"/>
          <w:sz w:val="32"/>
          <w:szCs w:val="32"/>
        </w:rPr>
        <w:t>两</w:t>
      </w:r>
      <w:r>
        <w:rPr>
          <w:rFonts w:ascii="Times New Roman" w:eastAsia="仿宋_GB2312" w:hAnsi="Times New Roman" w:cs="Times New Roman"/>
          <w:kern w:val="2"/>
          <w:sz w:val="32"/>
          <w:szCs w:val="32"/>
        </w:rPr>
        <w:t>个教学区，预计年招生约</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万名学生，日在校学生最高峰约</w:t>
      </w:r>
      <w:r>
        <w:rPr>
          <w:rFonts w:ascii="Times New Roman" w:eastAsia="仿宋_GB2312" w:hAnsi="Times New Roman" w:cs="Times New Roman"/>
          <w:kern w:val="2"/>
          <w:sz w:val="32"/>
          <w:szCs w:val="32"/>
        </w:rPr>
        <w:t>1.4</w:t>
      </w:r>
      <w:r>
        <w:rPr>
          <w:rFonts w:ascii="Times New Roman" w:eastAsia="仿宋_GB2312" w:hAnsi="Times New Roman" w:cs="Times New Roman"/>
          <w:kern w:val="2"/>
          <w:sz w:val="32"/>
          <w:szCs w:val="32"/>
        </w:rPr>
        <w:t>万人，在校教职员工约</w:t>
      </w:r>
      <w:r>
        <w:rPr>
          <w:rFonts w:ascii="Times New Roman" w:eastAsia="仿宋_GB2312" w:hAnsi="Times New Roman" w:cs="Times New Roman"/>
          <w:kern w:val="2"/>
          <w:sz w:val="32"/>
          <w:szCs w:val="32"/>
        </w:rPr>
        <w:t>190</w:t>
      </w:r>
      <w:r>
        <w:rPr>
          <w:rFonts w:ascii="Times New Roman" w:eastAsia="仿宋_GB2312" w:hAnsi="Times New Roman" w:cs="Times New Roman"/>
          <w:kern w:val="2"/>
          <w:sz w:val="32"/>
          <w:szCs w:val="32"/>
        </w:rPr>
        <w:t>人，现就本单位的《公众责任保险》、《校（园）方责任保险》、</w:t>
      </w:r>
      <w:r>
        <w:rPr>
          <w:rFonts w:ascii="Times New Roman" w:eastAsia="仿宋_GB2312" w:hAnsi="Times New Roman" w:cs="Times New Roman"/>
          <w:sz w:val="32"/>
          <w:szCs w:val="32"/>
        </w:rPr>
        <w:t>《教职员工校（园）方责任保险》</w:t>
      </w:r>
      <w:r>
        <w:rPr>
          <w:rFonts w:ascii="Times New Roman" w:eastAsia="仿宋_GB2312" w:hAnsi="Times New Roman" w:cs="Times New Roman"/>
          <w:kern w:val="2"/>
          <w:sz w:val="32"/>
          <w:szCs w:val="32"/>
        </w:rPr>
        <w:t>进行</w:t>
      </w:r>
      <w:r>
        <w:rPr>
          <w:rFonts w:ascii="Times New Roman" w:eastAsia="仿宋_GB2312" w:hAnsi="Times New Roman" w:cs="Times New Roman"/>
          <w:kern w:val="2"/>
          <w:sz w:val="32"/>
          <w:szCs w:val="32"/>
        </w:rPr>
        <w:t>网上</w:t>
      </w:r>
      <w:r>
        <w:rPr>
          <w:rFonts w:ascii="Times New Roman" w:eastAsia="仿宋_GB2312" w:hAnsi="Times New Roman" w:cs="Times New Roman" w:hint="eastAsia"/>
          <w:kern w:val="2"/>
          <w:sz w:val="32"/>
          <w:szCs w:val="32"/>
        </w:rPr>
        <w:t>公开</w:t>
      </w:r>
      <w:r w:rsidR="00323D15">
        <w:rPr>
          <w:rFonts w:ascii="Times New Roman" w:eastAsia="仿宋_GB2312" w:hAnsi="Times New Roman" w:cs="Times New Roman" w:hint="eastAsia"/>
          <w:kern w:val="2"/>
          <w:sz w:val="32"/>
          <w:szCs w:val="32"/>
        </w:rPr>
        <w:t>询价</w:t>
      </w:r>
      <w:r>
        <w:rPr>
          <w:rFonts w:ascii="Times New Roman" w:eastAsia="仿宋_GB2312" w:hAnsi="Times New Roman" w:cs="Times New Roman"/>
          <w:kern w:val="2"/>
          <w:sz w:val="32"/>
          <w:szCs w:val="32"/>
        </w:rPr>
        <w:t>，请</w:t>
      </w:r>
      <w:r>
        <w:rPr>
          <w:rFonts w:ascii="Times New Roman" w:eastAsia="仿宋_GB2312" w:hAnsi="Times New Roman" w:cs="Times New Roman" w:hint="eastAsia"/>
          <w:kern w:val="2"/>
          <w:sz w:val="32"/>
          <w:szCs w:val="32"/>
        </w:rPr>
        <w:t>符合要求的</w:t>
      </w:r>
      <w:r>
        <w:rPr>
          <w:rFonts w:ascii="Times New Roman" w:eastAsia="仿宋_GB2312" w:hAnsi="Times New Roman" w:cs="Times New Roman"/>
          <w:kern w:val="2"/>
          <w:sz w:val="32"/>
          <w:szCs w:val="32"/>
        </w:rPr>
        <w:t>保险公司予以</w:t>
      </w:r>
      <w:r w:rsidR="00323D15">
        <w:rPr>
          <w:rFonts w:ascii="Times New Roman" w:eastAsia="仿宋_GB2312" w:hAnsi="Times New Roman" w:cs="Times New Roman" w:hint="eastAsia"/>
          <w:kern w:val="2"/>
          <w:sz w:val="32"/>
          <w:szCs w:val="32"/>
        </w:rPr>
        <w:t>报价</w:t>
      </w:r>
      <w:r>
        <w:rPr>
          <w:rFonts w:ascii="Times New Roman" w:eastAsia="仿宋_GB2312" w:hAnsi="Times New Roman" w:cs="Times New Roman"/>
          <w:kern w:val="2"/>
          <w:sz w:val="32"/>
          <w:szCs w:val="32"/>
        </w:rPr>
        <w:t>。</w:t>
      </w:r>
    </w:p>
    <w:p w14:paraId="04E51EA4"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kern w:val="2"/>
          <w:sz w:val="32"/>
          <w:szCs w:val="32"/>
        </w:rPr>
        <w:t>、项目编号：</w:t>
      </w:r>
      <w:r>
        <w:rPr>
          <w:rFonts w:ascii="Times New Roman" w:eastAsia="仿宋_GB2312" w:hAnsi="Times New Roman" w:cs="Times New Roman"/>
          <w:color w:val="000000"/>
          <w:kern w:val="21"/>
          <w:sz w:val="32"/>
          <w:szCs w:val="32"/>
        </w:rPr>
        <w:t>GZSSNG-WSXJ-BGS-2019-0</w:t>
      </w:r>
      <w:r>
        <w:rPr>
          <w:rFonts w:ascii="Times New Roman" w:eastAsia="仿宋_GB2312" w:hAnsi="Times New Roman" w:cs="Times New Roman" w:hint="eastAsia"/>
          <w:color w:val="000000"/>
          <w:kern w:val="21"/>
          <w:sz w:val="32"/>
          <w:szCs w:val="32"/>
        </w:rPr>
        <w:t>30</w:t>
      </w:r>
    </w:p>
    <w:p w14:paraId="64D51A52"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项目名称：</w:t>
      </w:r>
      <w:r>
        <w:rPr>
          <w:rFonts w:ascii="Times New Roman" w:eastAsia="仿宋_GB2312" w:hAnsi="Times New Roman" w:cs="Times New Roman"/>
          <w:sz w:val="32"/>
          <w:szCs w:val="32"/>
        </w:rPr>
        <w:t>广州市少年宫</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年度责任保险</w:t>
      </w:r>
      <w:r>
        <w:rPr>
          <w:rFonts w:ascii="Times New Roman" w:eastAsia="仿宋_GB2312" w:hAnsi="Times New Roman" w:cs="Times New Roman"/>
          <w:color w:val="000000"/>
          <w:kern w:val="21"/>
          <w:sz w:val="32"/>
          <w:szCs w:val="32"/>
        </w:rPr>
        <w:t>采购项目</w:t>
      </w:r>
    </w:p>
    <w:p w14:paraId="5E5FA416"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项目内容及需求：</w:t>
      </w:r>
    </w:p>
    <w:tbl>
      <w:tblPr>
        <w:tblW w:w="859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6"/>
        <w:gridCol w:w="750"/>
        <w:gridCol w:w="4920"/>
        <w:gridCol w:w="735"/>
        <w:gridCol w:w="735"/>
      </w:tblGrid>
      <w:tr w:rsidR="00245E17" w14:paraId="4E4BBCAB" w14:textId="77777777">
        <w:trPr>
          <w:trHeight w:val="827"/>
          <w:tblCellSpacing w:w="0" w:type="dxa"/>
          <w:jc w:val="center"/>
        </w:trPr>
        <w:tc>
          <w:tcPr>
            <w:tcW w:w="1456" w:type="dxa"/>
            <w:tcBorders>
              <w:tl2br w:val="nil"/>
              <w:tr2bl w:val="nil"/>
            </w:tcBorders>
            <w:shd w:val="clear" w:color="auto" w:fill="FDFAF5"/>
            <w:tcMar>
              <w:left w:w="105" w:type="dxa"/>
              <w:right w:w="105" w:type="dxa"/>
            </w:tcMar>
            <w:vAlign w:val="center"/>
          </w:tcPr>
          <w:p w14:paraId="1626DA34" w14:textId="77777777" w:rsidR="00245E17" w:rsidRDefault="0052434C">
            <w:pPr>
              <w:pStyle w:val="a7"/>
              <w:adjustRightInd w:val="0"/>
              <w:snapToGrid w:val="0"/>
              <w:spacing w:beforeAutospacing="0" w:afterAutospacing="0"/>
              <w:jc w:val="center"/>
              <w:rPr>
                <w:rFonts w:ascii="Times New Roman" w:eastAsia="黑体" w:hAnsi="Times New Roman" w:cs="Times New Roman"/>
                <w:kern w:val="2"/>
              </w:rPr>
            </w:pPr>
            <w:r>
              <w:rPr>
                <w:rFonts w:ascii="Times New Roman" w:eastAsia="黑体" w:hAnsi="Times New Roman" w:cs="Times New Roman"/>
                <w:kern w:val="2"/>
              </w:rPr>
              <w:t>项目名称</w:t>
            </w:r>
          </w:p>
        </w:tc>
        <w:tc>
          <w:tcPr>
            <w:tcW w:w="750" w:type="dxa"/>
            <w:tcBorders>
              <w:tl2br w:val="nil"/>
              <w:tr2bl w:val="nil"/>
            </w:tcBorders>
            <w:shd w:val="clear" w:color="auto" w:fill="FDFAF5"/>
            <w:tcMar>
              <w:left w:w="105" w:type="dxa"/>
              <w:right w:w="105" w:type="dxa"/>
            </w:tcMar>
            <w:vAlign w:val="center"/>
          </w:tcPr>
          <w:p w14:paraId="6B8DBA2E" w14:textId="77777777" w:rsidR="00245E17" w:rsidRDefault="0052434C">
            <w:pPr>
              <w:pStyle w:val="a7"/>
              <w:adjustRightInd w:val="0"/>
              <w:snapToGrid w:val="0"/>
              <w:spacing w:beforeAutospacing="0" w:afterAutospacing="0"/>
              <w:jc w:val="center"/>
              <w:rPr>
                <w:rFonts w:ascii="Times New Roman" w:eastAsia="黑体" w:hAnsi="Times New Roman" w:cs="Times New Roman"/>
                <w:kern w:val="2"/>
              </w:rPr>
            </w:pPr>
            <w:r>
              <w:rPr>
                <w:rFonts w:ascii="Times New Roman" w:eastAsia="黑体" w:hAnsi="Times New Roman" w:cs="Times New Roman"/>
                <w:kern w:val="2"/>
              </w:rPr>
              <w:t>保险期限</w:t>
            </w:r>
          </w:p>
        </w:tc>
        <w:tc>
          <w:tcPr>
            <w:tcW w:w="4920" w:type="dxa"/>
            <w:tcBorders>
              <w:tl2br w:val="nil"/>
              <w:tr2bl w:val="nil"/>
            </w:tcBorders>
            <w:shd w:val="clear" w:color="auto" w:fill="FDFAF5"/>
            <w:tcMar>
              <w:left w:w="105" w:type="dxa"/>
              <w:right w:w="105" w:type="dxa"/>
            </w:tcMar>
            <w:vAlign w:val="center"/>
          </w:tcPr>
          <w:p w14:paraId="372C66E1" w14:textId="77777777" w:rsidR="00245E17" w:rsidRDefault="0052434C">
            <w:pPr>
              <w:pStyle w:val="a7"/>
              <w:adjustRightInd w:val="0"/>
              <w:snapToGrid w:val="0"/>
              <w:spacing w:beforeAutospacing="0" w:afterAutospacing="0"/>
              <w:jc w:val="center"/>
              <w:rPr>
                <w:rFonts w:ascii="Times New Roman" w:eastAsia="黑体" w:hAnsi="Times New Roman" w:cs="Times New Roman"/>
                <w:kern w:val="2"/>
              </w:rPr>
            </w:pPr>
            <w:r>
              <w:rPr>
                <w:rFonts w:ascii="Times New Roman" w:eastAsia="黑体" w:hAnsi="Times New Roman" w:cs="Times New Roman"/>
                <w:kern w:val="2"/>
              </w:rPr>
              <w:t>保险金额</w:t>
            </w:r>
          </w:p>
        </w:tc>
        <w:tc>
          <w:tcPr>
            <w:tcW w:w="735" w:type="dxa"/>
            <w:tcBorders>
              <w:tl2br w:val="nil"/>
              <w:tr2bl w:val="nil"/>
            </w:tcBorders>
            <w:shd w:val="clear" w:color="auto" w:fill="FDFAF5"/>
            <w:tcMar>
              <w:left w:w="105" w:type="dxa"/>
              <w:right w:w="105" w:type="dxa"/>
            </w:tcMar>
            <w:vAlign w:val="center"/>
          </w:tcPr>
          <w:p w14:paraId="3D739C6E" w14:textId="77777777" w:rsidR="00245E17" w:rsidRDefault="0052434C">
            <w:pPr>
              <w:pStyle w:val="a7"/>
              <w:adjustRightInd w:val="0"/>
              <w:snapToGrid w:val="0"/>
              <w:spacing w:beforeAutospacing="0" w:afterAutospacing="0"/>
              <w:jc w:val="center"/>
              <w:rPr>
                <w:rFonts w:ascii="Times New Roman" w:eastAsia="黑体" w:hAnsi="Times New Roman" w:cs="Times New Roman"/>
                <w:kern w:val="2"/>
              </w:rPr>
            </w:pPr>
            <w:r>
              <w:rPr>
                <w:rFonts w:ascii="Times New Roman" w:eastAsia="黑体" w:hAnsi="Times New Roman" w:cs="Times New Roman"/>
                <w:kern w:val="2"/>
              </w:rPr>
              <w:t>免赔</w:t>
            </w:r>
          </w:p>
        </w:tc>
        <w:tc>
          <w:tcPr>
            <w:tcW w:w="735" w:type="dxa"/>
            <w:tcBorders>
              <w:tl2br w:val="nil"/>
              <w:tr2bl w:val="nil"/>
            </w:tcBorders>
            <w:shd w:val="clear" w:color="auto" w:fill="FDFAF5"/>
            <w:tcMar>
              <w:left w:w="105" w:type="dxa"/>
              <w:right w:w="105" w:type="dxa"/>
            </w:tcMar>
            <w:vAlign w:val="center"/>
          </w:tcPr>
          <w:p w14:paraId="174507DF" w14:textId="77777777" w:rsidR="00245E17" w:rsidRDefault="0052434C">
            <w:pPr>
              <w:pStyle w:val="a7"/>
              <w:adjustRightInd w:val="0"/>
              <w:snapToGrid w:val="0"/>
              <w:spacing w:beforeAutospacing="0" w:afterAutospacing="0"/>
              <w:jc w:val="center"/>
              <w:rPr>
                <w:rFonts w:ascii="Times New Roman" w:eastAsia="黑体" w:hAnsi="Times New Roman" w:cs="Times New Roman"/>
                <w:kern w:val="2"/>
              </w:rPr>
            </w:pPr>
            <w:r>
              <w:rPr>
                <w:rFonts w:ascii="Times New Roman" w:eastAsia="黑体" w:hAnsi="Times New Roman" w:cs="Times New Roman"/>
                <w:kern w:val="2"/>
              </w:rPr>
              <w:t>备注</w:t>
            </w:r>
          </w:p>
        </w:tc>
      </w:tr>
      <w:tr w:rsidR="00245E17" w14:paraId="60432A24" w14:textId="77777777">
        <w:trPr>
          <w:trHeight w:val="5400"/>
          <w:tblCellSpacing w:w="0" w:type="dxa"/>
          <w:jc w:val="center"/>
        </w:trPr>
        <w:tc>
          <w:tcPr>
            <w:tcW w:w="1456" w:type="dxa"/>
            <w:tcBorders>
              <w:tl2br w:val="nil"/>
              <w:tr2bl w:val="nil"/>
            </w:tcBorders>
            <w:shd w:val="clear" w:color="auto" w:fill="FDFAF5"/>
            <w:tcMar>
              <w:left w:w="105" w:type="dxa"/>
              <w:right w:w="105" w:type="dxa"/>
            </w:tcMar>
            <w:vAlign w:val="center"/>
          </w:tcPr>
          <w:p w14:paraId="4A91D0F9"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《公众责任保险》</w:t>
            </w:r>
          </w:p>
          <w:p w14:paraId="570ACD07"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附加游泳池责任保险</w:t>
            </w:r>
          </w:p>
          <w:p w14:paraId="546866F3"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附加广告及装饰装置责任保险</w:t>
            </w:r>
          </w:p>
          <w:p w14:paraId="44425736"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附加电梯责任保险</w:t>
            </w:r>
          </w:p>
        </w:tc>
        <w:tc>
          <w:tcPr>
            <w:tcW w:w="750" w:type="dxa"/>
            <w:tcBorders>
              <w:tl2br w:val="nil"/>
              <w:tr2bl w:val="nil"/>
            </w:tcBorders>
            <w:shd w:val="clear" w:color="auto" w:fill="FDFAF5"/>
            <w:tcMar>
              <w:left w:w="105" w:type="dxa"/>
              <w:right w:w="105" w:type="dxa"/>
            </w:tcMar>
            <w:vAlign w:val="center"/>
          </w:tcPr>
          <w:p w14:paraId="401891C7"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壹年</w:t>
            </w:r>
          </w:p>
        </w:tc>
        <w:tc>
          <w:tcPr>
            <w:tcW w:w="4920" w:type="dxa"/>
            <w:tcBorders>
              <w:tl2br w:val="nil"/>
              <w:tr2bl w:val="nil"/>
            </w:tcBorders>
            <w:shd w:val="clear" w:color="auto" w:fill="FDFAF5"/>
            <w:tcMar>
              <w:left w:w="105" w:type="dxa"/>
              <w:right w:w="105" w:type="dxa"/>
            </w:tcMar>
            <w:vAlign w:val="center"/>
          </w:tcPr>
          <w:p w14:paraId="099D4CFF"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累计赔偿限额为</w:t>
            </w:r>
            <w:r>
              <w:rPr>
                <w:rFonts w:ascii="Times New Roman" w:eastAsia="仿宋_GB2312" w:hAnsi="Times New Roman" w:cs="Times New Roman"/>
                <w:kern w:val="0"/>
                <w:sz w:val="24"/>
                <w:szCs w:val="24"/>
              </w:rPr>
              <w:t>RMB200</w:t>
            </w:r>
            <w:r>
              <w:rPr>
                <w:rFonts w:ascii="Times New Roman" w:eastAsia="仿宋_GB2312" w:hAnsi="Times New Roman" w:cs="Times New Roman"/>
                <w:kern w:val="0"/>
                <w:sz w:val="24"/>
                <w:szCs w:val="24"/>
                <w:lang w:val="zh-CN"/>
              </w:rPr>
              <w:t>万元；</w:t>
            </w:r>
          </w:p>
          <w:p w14:paraId="729F93F9"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每次事故赔偿限额为</w:t>
            </w:r>
            <w:r>
              <w:rPr>
                <w:rFonts w:ascii="Times New Roman" w:eastAsia="仿宋_GB2312" w:hAnsi="Times New Roman" w:cs="Times New Roman"/>
                <w:kern w:val="0"/>
                <w:sz w:val="24"/>
                <w:szCs w:val="24"/>
              </w:rPr>
              <w:t>RMB200</w:t>
            </w:r>
            <w:r>
              <w:rPr>
                <w:rFonts w:ascii="Times New Roman" w:eastAsia="仿宋_GB2312" w:hAnsi="Times New Roman" w:cs="Times New Roman"/>
                <w:kern w:val="0"/>
                <w:sz w:val="24"/>
                <w:szCs w:val="24"/>
                <w:lang w:val="zh-CN"/>
              </w:rPr>
              <w:t>万；</w:t>
            </w:r>
          </w:p>
          <w:p w14:paraId="6EFCA047"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其中</w:t>
            </w:r>
            <w:r>
              <w:rPr>
                <w:rFonts w:ascii="Times New Roman" w:eastAsia="仿宋_GB2312" w:hAnsi="Times New Roman" w:cs="Times New Roman" w:hint="eastAsia"/>
                <w:kern w:val="0"/>
                <w:sz w:val="24"/>
                <w:szCs w:val="24"/>
                <w:lang w:val="zh-CN"/>
              </w:rPr>
              <w:t>：</w:t>
            </w:r>
            <w:r>
              <w:rPr>
                <w:rFonts w:ascii="Times New Roman" w:eastAsia="仿宋_GB2312" w:hAnsi="Times New Roman" w:cs="Times New Roman"/>
                <w:kern w:val="0"/>
                <w:sz w:val="24"/>
                <w:szCs w:val="24"/>
                <w:lang w:val="zh-CN"/>
              </w:rPr>
              <w:t>每次财产损失赔偿限</w:t>
            </w:r>
            <w:r>
              <w:rPr>
                <w:rFonts w:ascii="Times New Roman" w:eastAsia="仿宋_GB2312" w:hAnsi="Times New Roman" w:cs="Times New Roman"/>
                <w:kern w:val="0"/>
                <w:sz w:val="24"/>
                <w:szCs w:val="24"/>
              </w:rPr>
              <w:t>额</w:t>
            </w:r>
            <w:r>
              <w:rPr>
                <w:rFonts w:ascii="Times New Roman" w:eastAsia="仿宋_GB2312" w:hAnsi="Times New Roman" w:cs="Times New Roman"/>
                <w:kern w:val="0"/>
                <w:sz w:val="24"/>
                <w:szCs w:val="24"/>
                <w:lang w:val="zh-CN"/>
              </w:rPr>
              <w:t>为</w:t>
            </w:r>
            <w:r>
              <w:rPr>
                <w:rFonts w:ascii="Times New Roman" w:eastAsia="仿宋_GB2312" w:hAnsi="Times New Roman" w:cs="Times New Roman"/>
                <w:kern w:val="0"/>
                <w:sz w:val="24"/>
                <w:szCs w:val="24"/>
              </w:rPr>
              <w:t>RMB30</w:t>
            </w:r>
            <w:r>
              <w:rPr>
                <w:rFonts w:ascii="Times New Roman" w:eastAsia="仿宋_GB2312" w:hAnsi="Times New Roman" w:cs="Times New Roman"/>
                <w:kern w:val="0"/>
                <w:sz w:val="24"/>
                <w:szCs w:val="24"/>
                <w:lang w:val="zh-CN"/>
              </w:rPr>
              <w:t>万元；</w:t>
            </w:r>
          </w:p>
          <w:p w14:paraId="6C9DC87D"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人身伤亡每次事故赔偿限额为</w:t>
            </w:r>
            <w:r>
              <w:rPr>
                <w:rFonts w:ascii="Times New Roman" w:eastAsia="仿宋_GB2312" w:hAnsi="Times New Roman" w:cs="Times New Roman"/>
                <w:kern w:val="0"/>
                <w:sz w:val="24"/>
                <w:szCs w:val="24"/>
              </w:rPr>
              <w:t>RMB150</w:t>
            </w:r>
            <w:r>
              <w:rPr>
                <w:rFonts w:ascii="Times New Roman" w:eastAsia="仿宋_GB2312" w:hAnsi="Times New Roman" w:cs="Times New Roman"/>
                <w:kern w:val="0"/>
                <w:sz w:val="24"/>
                <w:szCs w:val="24"/>
                <w:lang w:val="zh-CN"/>
              </w:rPr>
              <w:t>万元；</w:t>
            </w:r>
          </w:p>
          <w:p w14:paraId="7C21579F"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每人每次人身伤亡赔偿限额为</w:t>
            </w:r>
            <w:r>
              <w:rPr>
                <w:rFonts w:ascii="Times New Roman" w:eastAsia="仿宋_GB2312" w:hAnsi="Times New Roman" w:cs="Times New Roman"/>
                <w:kern w:val="0"/>
                <w:sz w:val="24"/>
                <w:szCs w:val="24"/>
              </w:rPr>
              <w:t>RMB30</w:t>
            </w:r>
            <w:r>
              <w:rPr>
                <w:rFonts w:ascii="Times New Roman" w:eastAsia="仿宋_GB2312" w:hAnsi="Times New Roman" w:cs="Times New Roman"/>
                <w:kern w:val="0"/>
                <w:sz w:val="24"/>
                <w:szCs w:val="24"/>
                <w:lang w:val="zh-CN"/>
              </w:rPr>
              <w:t>万元</w:t>
            </w:r>
            <w:r>
              <w:rPr>
                <w:rFonts w:ascii="Times New Roman" w:eastAsia="仿宋_GB2312" w:hAnsi="Times New Roman" w:cs="Times New Roman" w:hint="eastAsia"/>
                <w:kern w:val="0"/>
                <w:sz w:val="24"/>
                <w:szCs w:val="24"/>
                <w:lang w:val="zh-CN"/>
              </w:rPr>
              <w:t>。</w:t>
            </w:r>
          </w:p>
          <w:p w14:paraId="262B647A"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lang w:val="zh-CN"/>
              </w:rPr>
              <w:t>）附加游泳池责任条款</w:t>
            </w:r>
            <w:r>
              <w:rPr>
                <w:rFonts w:ascii="Times New Roman" w:eastAsia="仿宋_GB2312" w:hAnsi="Times New Roman" w:cs="Times New Roman" w:hint="eastAsia"/>
                <w:kern w:val="0"/>
                <w:sz w:val="24"/>
                <w:szCs w:val="24"/>
                <w:lang w:val="zh-CN"/>
              </w:rPr>
              <w:t>：</w:t>
            </w:r>
          </w:p>
          <w:p w14:paraId="69BA5D95"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累计赔偿限额为</w:t>
            </w:r>
            <w:r>
              <w:rPr>
                <w:rFonts w:ascii="Times New Roman" w:eastAsia="仿宋_GB2312" w:hAnsi="Times New Roman" w:cs="Times New Roman"/>
                <w:kern w:val="0"/>
                <w:sz w:val="24"/>
                <w:szCs w:val="24"/>
              </w:rPr>
              <w:t>RMB100</w:t>
            </w:r>
            <w:r>
              <w:rPr>
                <w:rFonts w:ascii="Times New Roman" w:eastAsia="仿宋_GB2312" w:hAnsi="Times New Roman" w:cs="Times New Roman"/>
                <w:kern w:val="0"/>
                <w:sz w:val="24"/>
                <w:szCs w:val="24"/>
                <w:lang w:val="zh-CN"/>
              </w:rPr>
              <w:t>万元；</w:t>
            </w:r>
          </w:p>
          <w:p w14:paraId="2DA4FEFD"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每人每次人身伤亡赔偿限额为</w:t>
            </w:r>
            <w:r>
              <w:rPr>
                <w:rFonts w:ascii="Times New Roman" w:eastAsia="仿宋_GB2312" w:hAnsi="Times New Roman" w:cs="Times New Roman"/>
                <w:kern w:val="0"/>
                <w:sz w:val="24"/>
                <w:szCs w:val="24"/>
              </w:rPr>
              <w:t>RMB30</w:t>
            </w:r>
            <w:r>
              <w:rPr>
                <w:rFonts w:ascii="Times New Roman" w:eastAsia="仿宋_GB2312" w:hAnsi="Times New Roman" w:cs="Times New Roman"/>
                <w:kern w:val="0"/>
                <w:sz w:val="24"/>
                <w:szCs w:val="24"/>
                <w:lang w:val="zh-CN"/>
              </w:rPr>
              <w:t>万元；</w:t>
            </w:r>
          </w:p>
          <w:p w14:paraId="2DD6EBEE"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lang w:val="zh-CN"/>
              </w:rPr>
              <w:t>）附加广告及装饰装置责任条款</w:t>
            </w:r>
            <w:r>
              <w:rPr>
                <w:rFonts w:ascii="Times New Roman" w:eastAsia="仿宋_GB2312" w:hAnsi="Times New Roman" w:cs="Times New Roman" w:hint="eastAsia"/>
                <w:kern w:val="0"/>
                <w:sz w:val="24"/>
                <w:szCs w:val="24"/>
                <w:lang w:val="zh-CN"/>
              </w:rPr>
              <w:t>：</w:t>
            </w:r>
          </w:p>
          <w:p w14:paraId="2925CFE5"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累计赔偿限额为</w:t>
            </w:r>
            <w:r>
              <w:rPr>
                <w:rFonts w:ascii="Times New Roman" w:eastAsia="仿宋_GB2312" w:hAnsi="Times New Roman" w:cs="Times New Roman"/>
                <w:kern w:val="0"/>
                <w:sz w:val="24"/>
                <w:szCs w:val="24"/>
              </w:rPr>
              <w:t>RMB30</w:t>
            </w:r>
            <w:r>
              <w:rPr>
                <w:rFonts w:ascii="Times New Roman" w:eastAsia="仿宋_GB2312" w:hAnsi="Times New Roman" w:cs="Times New Roman"/>
                <w:kern w:val="0"/>
                <w:sz w:val="24"/>
                <w:szCs w:val="24"/>
                <w:lang w:val="zh-CN"/>
              </w:rPr>
              <w:t>万元；</w:t>
            </w:r>
          </w:p>
          <w:p w14:paraId="2AA55424"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每人每次人身伤亡赔偿限额为</w:t>
            </w:r>
            <w:r>
              <w:rPr>
                <w:rFonts w:ascii="Times New Roman" w:eastAsia="仿宋_GB2312" w:hAnsi="Times New Roman" w:cs="Times New Roman"/>
                <w:kern w:val="0"/>
                <w:sz w:val="24"/>
                <w:szCs w:val="24"/>
              </w:rPr>
              <w:t>RMB30</w:t>
            </w:r>
            <w:r>
              <w:rPr>
                <w:rFonts w:ascii="Times New Roman" w:eastAsia="仿宋_GB2312" w:hAnsi="Times New Roman" w:cs="Times New Roman"/>
                <w:kern w:val="0"/>
                <w:sz w:val="24"/>
                <w:szCs w:val="24"/>
                <w:lang w:val="zh-CN"/>
              </w:rPr>
              <w:t>万元；</w:t>
            </w:r>
          </w:p>
          <w:p w14:paraId="2399BBA7"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 xml:space="preserve">3) </w:t>
            </w:r>
            <w:r>
              <w:rPr>
                <w:rFonts w:ascii="Times New Roman" w:eastAsia="仿宋_GB2312" w:hAnsi="Times New Roman" w:cs="Times New Roman"/>
                <w:kern w:val="0"/>
                <w:sz w:val="24"/>
                <w:szCs w:val="24"/>
                <w:lang w:val="zh-CN"/>
              </w:rPr>
              <w:t>电梯责任保险</w:t>
            </w:r>
            <w:r>
              <w:rPr>
                <w:rFonts w:ascii="Times New Roman" w:eastAsia="仿宋_GB2312" w:hAnsi="Times New Roman" w:cs="Times New Roman" w:hint="eastAsia"/>
                <w:kern w:val="0"/>
                <w:sz w:val="24"/>
                <w:szCs w:val="24"/>
                <w:lang w:val="zh-CN"/>
              </w:rPr>
              <w:t>（</w:t>
            </w:r>
            <w:r>
              <w:rPr>
                <w:rFonts w:ascii="Times New Roman" w:eastAsia="仿宋_GB2312" w:hAnsi="Times New Roman" w:cs="Times New Roman"/>
                <w:kern w:val="0"/>
                <w:sz w:val="24"/>
                <w:szCs w:val="24"/>
                <w:lang w:val="zh-CN"/>
              </w:rPr>
              <w:t>4</w:t>
            </w:r>
            <w:r>
              <w:rPr>
                <w:rFonts w:ascii="Times New Roman" w:eastAsia="仿宋_GB2312" w:hAnsi="Times New Roman" w:cs="Times New Roman"/>
                <w:kern w:val="0"/>
                <w:sz w:val="24"/>
                <w:szCs w:val="24"/>
                <w:lang w:val="zh-CN"/>
              </w:rPr>
              <w:t>台</w:t>
            </w:r>
            <w:r>
              <w:rPr>
                <w:rFonts w:ascii="Times New Roman" w:eastAsia="仿宋_GB2312" w:hAnsi="Times New Roman" w:cs="Times New Roman" w:hint="eastAsia"/>
                <w:kern w:val="0"/>
                <w:sz w:val="24"/>
                <w:szCs w:val="24"/>
                <w:lang w:val="zh-CN"/>
              </w:rPr>
              <w:t>）：</w:t>
            </w:r>
          </w:p>
          <w:p w14:paraId="5BC0AF96"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累计赔偿限额为</w:t>
            </w:r>
            <w:r>
              <w:rPr>
                <w:rFonts w:ascii="Times New Roman" w:eastAsia="仿宋_GB2312" w:hAnsi="Times New Roman" w:cs="Times New Roman"/>
                <w:kern w:val="0"/>
                <w:sz w:val="24"/>
                <w:szCs w:val="24"/>
              </w:rPr>
              <w:t>RMB300</w:t>
            </w:r>
            <w:r>
              <w:rPr>
                <w:rFonts w:ascii="Times New Roman" w:eastAsia="仿宋_GB2312" w:hAnsi="Times New Roman" w:cs="Times New Roman"/>
                <w:kern w:val="0"/>
                <w:sz w:val="24"/>
                <w:szCs w:val="24"/>
                <w:lang w:val="zh-CN"/>
              </w:rPr>
              <w:t>万元；</w:t>
            </w:r>
          </w:p>
          <w:p w14:paraId="0A1CF6FF"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每次事故赔偿限额为</w:t>
            </w:r>
            <w:r>
              <w:rPr>
                <w:rFonts w:ascii="Times New Roman" w:eastAsia="仿宋_GB2312" w:hAnsi="Times New Roman" w:cs="Times New Roman"/>
                <w:kern w:val="0"/>
                <w:sz w:val="24"/>
                <w:szCs w:val="24"/>
              </w:rPr>
              <w:t>RMB</w:t>
            </w:r>
            <w:r>
              <w:rPr>
                <w:rFonts w:ascii="Times New Roman" w:eastAsia="仿宋_GB2312" w:hAnsi="Times New Roman" w:cs="Times New Roman"/>
                <w:kern w:val="0"/>
                <w:sz w:val="24"/>
                <w:szCs w:val="24"/>
                <w:lang w:val="zh-CN"/>
              </w:rPr>
              <w:t>为</w:t>
            </w:r>
            <w:r>
              <w:rPr>
                <w:rFonts w:ascii="Times New Roman" w:eastAsia="仿宋_GB2312" w:hAnsi="Times New Roman" w:cs="Times New Roman"/>
                <w:kern w:val="0"/>
                <w:sz w:val="24"/>
                <w:szCs w:val="24"/>
              </w:rPr>
              <w:t>RMB300</w:t>
            </w:r>
            <w:r>
              <w:rPr>
                <w:rFonts w:ascii="Times New Roman" w:eastAsia="仿宋_GB2312" w:hAnsi="Times New Roman" w:cs="Times New Roman"/>
                <w:kern w:val="0"/>
                <w:sz w:val="24"/>
                <w:szCs w:val="24"/>
                <w:lang w:val="zh-CN"/>
              </w:rPr>
              <w:t>万；</w:t>
            </w:r>
          </w:p>
          <w:p w14:paraId="143C3E86"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每人每次人身伤亡赔偿限额为</w:t>
            </w:r>
            <w:r>
              <w:rPr>
                <w:rFonts w:ascii="Times New Roman" w:eastAsia="仿宋_GB2312" w:hAnsi="Times New Roman" w:cs="Times New Roman"/>
                <w:kern w:val="0"/>
                <w:sz w:val="24"/>
                <w:szCs w:val="24"/>
              </w:rPr>
              <w:t>RMB100</w:t>
            </w:r>
            <w:r>
              <w:rPr>
                <w:rFonts w:ascii="Times New Roman" w:eastAsia="仿宋_GB2312" w:hAnsi="Times New Roman" w:cs="Times New Roman"/>
                <w:kern w:val="0"/>
                <w:sz w:val="24"/>
                <w:szCs w:val="24"/>
                <w:lang w:val="zh-CN"/>
              </w:rPr>
              <w:t>万元；</w:t>
            </w:r>
          </w:p>
          <w:p w14:paraId="663762C2"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免赔</w:t>
            </w:r>
            <w:r>
              <w:rPr>
                <w:rFonts w:ascii="Times New Roman" w:eastAsia="仿宋_GB2312" w:hAnsi="Times New Roman" w:cs="Times New Roman" w:hint="eastAsia"/>
                <w:kern w:val="0"/>
                <w:sz w:val="24"/>
                <w:szCs w:val="24"/>
                <w:lang w:val="zh-CN"/>
              </w:rPr>
              <w:t>：</w:t>
            </w:r>
            <w:r>
              <w:rPr>
                <w:rFonts w:ascii="Times New Roman" w:eastAsia="仿宋_GB2312" w:hAnsi="Times New Roman" w:cs="Times New Roman"/>
                <w:kern w:val="0"/>
                <w:sz w:val="24"/>
                <w:szCs w:val="24"/>
                <w:lang w:val="zh-CN"/>
              </w:rPr>
              <w:t>每次事故绝对免赔额为人民币</w:t>
            </w:r>
            <w:r>
              <w:rPr>
                <w:rFonts w:ascii="Times New Roman" w:eastAsia="仿宋_GB2312" w:hAnsi="Times New Roman" w:cs="Times New Roman"/>
                <w:kern w:val="0"/>
                <w:sz w:val="24"/>
                <w:szCs w:val="24"/>
              </w:rPr>
              <w:t>500</w:t>
            </w:r>
            <w:r>
              <w:rPr>
                <w:rFonts w:ascii="Times New Roman" w:eastAsia="仿宋_GB2312" w:hAnsi="Times New Roman" w:cs="Times New Roman"/>
                <w:kern w:val="0"/>
                <w:sz w:val="24"/>
                <w:szCs w:val="24"/>
                <w:lang w:val="zh-CN"/>
              </w:rPr>
              <w:t>元</w:t>
            </w:r>
            <w:r>
              <w:rPr>
                <w:rFonts w:ascii="Times New Roman" w:eastAsia="仿宋_GB2312" w:hAnsi="Times New Roman" w:cs="Times New Roman" w:hint="eastAsia"/>
                <w:kern w:val="0"/>
                <w:sz w:val="24"/>
                <w:szCs w:val="24"/>
                <w:lang w:val="zh-CN"/>
              </w:rPr>
              <w:t>。</w:t>
            </w:r>
          </w:p>
        </w:tc>
        <w:tc>
          <w:tcPr>
            <w:tcW w:w="735" w:type="dxa"/>
            <w:tcBorders>
              <w:tl2br w:val="nil"/>
              <w:tr2bl w:val="nil"/>
            </w:tcBorders>
            <w:shd w:val="clear" w:color="auto" w:fill="FDFAF5"/>
            <w:tcMar>
              <w:left w:w="105" w:type="dxa"/>
              <w:right w:w="105" w:type="dxa"/>
            </w:tcMar>
            <w:vAlign w:val="center"/>
          </w:tcPr>
          <w:p w14:paraId="75D4A2A3"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200</w:t>
            </w:r>
            <w:r>
              <w:rPr>
                <w:rFonts w:ascii="Times New Roman" w:eastAsia="仿宋_GB2312" w:hAnsi="Times New Roman" w:cs="Times New Roman"/>
                <w:kern w:val="2"/>
              </w:rPr>
              <w:t>元或</w:t>
            </w:r>
            <w:r>
              <w:rPr>
                <w:rFonts w:ascii="Times New Roman" w:eastAsia="仿宋_GB2312" w:hAnsi="Times New Roman" w:cs="Times New Roman"/>
                <w:kern w:val="2"/>
              </w:rPr>
              <w:t>5%</w:t>
            </w:r>
          </w:p>
        </w:tc>
        <w:tc>
          <w:tcPr>
            <w:tcW w:w="735" w:type="dxa"/>
            <w:tcBorders>
              <w:tl2br w:val="nil"/>
              <w:tr2bl w:val="nil"/>
            </w:tcBorders>
            <w:shd w:val="clear" w:color="auto" w:fill="FDFAF5"/>
            <w:tcMar>
              <w:left w:w="105" w:type="dxa"/>
              <w:right w:w="105" w:type="dxa"/>
            </w:tcMar>
            <w:vAlign w:val="center"/>
          </w:tcPr>
          <w:p w14:paraId="79703236" w14:textId="77777777" w:rsidR="00245E17" w:rsidRDefault="00245E17">
            <w:pPr>
              <w:pStyle w:val="a7"/>
              <w:adjustRightInd w:val="0"/>
              <w:snapToGrid w:val="0"/>
              <w:spacing w:beforeAutospacing="0" w:afterAutospacing="0"/>
              <w:jc w:val="center"/>
              <w:rPr>
                <w:rFonts w:ascii="Times New Roman" w:eastAsia="仿宋_GB2312" w:hAnsi="Times New Roman" w:cs="Times New Roman"/>
                <w:kern w:val="2"/>
              </w:rPr>
            </w:pPr>
          </w:p>
        </w:tc>
      </w:tr>
      <w:tr w:rsidR="00245E17" w14:paraId="1CB3F1B6" w14:textId="77777777">
        <w:trPr>
          <w:trHeight w:val="3447"/>
          <w:tblCellSpacing w:w="0" w:type="dxa"/>
          <w:jc w:val="center"/>
        </w:trPr>
        <w:tc>
          <w:tcPr>
            <w:tcW w:w="1456" w:type="dxa"/>
            <w:tcBorders>
              <w:tl2br w:val="nil"/>
              <w:tr2bl w:val="nil"/>
            </w:tcBorders>
            <w:shd w:val="clear" w:color="auto" w:fill="FDFAF5"/>
            <w:tcMar>
              <w:left w:w="105" w:type="dxa"/>
              <w:right w:w="105" w:type="dxa"/>
            </w:tcMar>
            <w:vAlign w:val="center"/>
          </w:tcPr>
          <w:p w14:paraId="0BB48FE8"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lastRenderedPageBreak/>
              <w:t>《校</w:t>
            </w:r>
            <w:r>
              <w:rPr>
                <w:rFonts w:ascii="Times New Roman" w:eastAsia="仿宋_GB2312" w:hAnsi="Times New Roman" w:cs="Times New Roman" w:hint="eastAsia"/>
                <w:kern w:val="2"/>
              </w:rPr>
              <w:t>（</w:t>
            </w:r>
            <w:r>
              <w:rPr>
                <w:rFonts w:ascii="Times New Roman" w:eastAsia="仿宋_GB2312" w:hAnsi="Times New Roman" w:cs="Times New Roman"/>
                <w:kern w:val="2"/>
              </w:rPr>
              <w:t>园</w:t>
            </w:r>
            <w:r>
              <w:rPr>
                <w:rFonts w:ascii="Times New Roman" w:eastAsia="仿宋_GB2312" w:hAnsi="Times New Roman" w:cs="Times New Roman" w:hint="eastAsia"/>
                <w:kern w:val="2"/>
              </w:rPr>
              <w:t>）</w:t>
            </w:r>
            <w:r>
              <w:rPr>
                <w:rFonts w:ascii="Times New Roman" w:eastAsia="仿宋_GB2312" w:hAnsi="Times New Roman" w:cs="Times New Roman"/>
                <w:kern w:val="2"/>
              </w:rPr>
              <w:t>方责任保险》</w:t>
            </w:r>
          </w:p>
          <w:p w14:paraId="29016F2E"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附加境外责任保险</w:t>
            </w:r>
          </w:p>
          <w:p w14:paraId="3712FE85"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kern w:val="2"/>
              </w:rPr>
              <w:t>附加注册学生第三者责任保险</w:t>
            </w:r>
          </w:p>
        </w:tc>
        <w:tc>
          <w:tcPr>
            <w:tcW w:w="750" w:type="dxa"/>
            <w:tcBorders>
              <w:tl2br w:val="nil"/>
              <w:tr2bl w:val="nil"/>
            </w:tcBorders>
            <w:shd w:val="clear" w:color="auto" w:fill="FDFAF5"/>
            <w:tcMar>
              <w:left w:w="105" w:type="dxa"/>
              <w:right w:w="105" w:type="dxa"/>
            </w:tcMar>
            <w:vAlign w:val="center"/>
          </w:tcPr>
          <w:p w14:paraId="6EBB00BE"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壹年</w:t>
            </w:r>
          </w:p>
        </w:tc>
        <w:tc>
          <w:tcPr>
            <w:tcW w:w="4920" w:type="dxa"/>
            <w:tcBorders>
              <w:tl2br w:val="nil"/>
              <w:tr2bl w:val="nil"/>
            </w:tcBorders>
            <w:shd w:val="clear" w:color="auto" w:fill="FDFAF5"/>
            <w:tcMar>
              <w:left w:w="105" w:type="dxa"/>
              <w:right w:w="105" w:type="dxa"/>
            </w:tcMar>
            <w:vAlign w:val="center"/>
          </w:tcPr>
          <w:p w14:paraId="17185D5B"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累计</w:t>
            </w:r>
            <w:r>
              <w:rPr>
                <w:rFonts w:ascii="Times New Roman" w:eastAsia="仿宋_GB2312" w:hAnsi="Times New Roman" w:cs="Times New Roman"/>
                <w:kern w:val="0"/>
                <w:sz w:val="24"/>
                <w:szCs w:val="24"/>
                <w:lang w:val="zh-CN"/>
              </w:rPr>
              <w:t>1500</w:t>
            </w:r>
            <w:r>
              <w:rPr>
                <w:rFonts w:ascii="Times New Roman" w:eastAsia="仿宋_GB2312" w:hAnsi="Times New Roman" w:cs="Times New Roman"/>
                <w:kern w:val="0"/>
                <w:sz w:val="24"/>
                <w:szCs w:val="24"/>
                <w:lang w:val="zh-CN"/>
              </w:rPr>
              <w:t>万元</w:t>
            </w:r>
            <w:r>
              <w:rPr>
                <w:rFonts w:ascii="Times New Roman" w:eastAsia="仿宋_GB2312" w:hAnsi="Times New Roman" w:cs="Times New Roman"/>
                <w:kern w:val="0"/>
                <w:sz w:val="24"/>
                <w:szCs w:val="24"/>
                <w:lang w:val="zh-CN"/>
              </w:rPr>
              <w:t>/</w:t>
            </w:r>
            <w:r>
              <w:rPr>
                <w:rFonts w:ascii="Times New Roman" w:eastAsia="仿宋_GB2312" w:hAnsi="Times New Roman" w:cs="Times New Roman"/>
                <w:kern w:val="0"/>
                <w:sz w:val="24"/>
                <w:szCs w:val="24"/>
                <w:lang w:val="zh-CN"/>
              </w:rPr>
              <w:t>年；</w:t>
            </w:r>
          </w:p>
          <w:p w14:paraId="1CC227EE"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每次事故赔偿限额</w:t>
            </w:r>
            <w:r>
              <w:rPr>
                <w:rFonts w:ascii="Times New Roman" w:eastAsia="仿宋_GB2312" w:hAnsi="Times New Roman" w:cs="Times New Roman"/>
                <w:kern w:val="0"/>
                <w:sz w:val="24"/>
                <w:szCs w:val="24"/>
                <w:lang w:val="zh-CN"/>
              </w:rPr>
              <w:t>500</w:t>
            </w:r>
            <w:r>
              <w:rPr>
                <w:rFonts w:ascii="Times New Roman" w:eastAsia="仿宋_GB2312" w:hAnsi="Times New Roman" w:cs="Times New Roman"/>
                <w:kern w:val="0"/>
                <w:sz w:val="24"/>
                <w:szCs w:val="24"/>
                <w:lang w:val="zh-CN"/>
              </w:rPr>
              <w:t>万元；</w:t>
            </w:r>
          </w:p>
          <w:p w14:paraId="5F828DF5"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每人每年责任限额：</w:t>
            </w:r>
            <w:r>
              <w:rPr>
                <w:rFonts w:ascii="Times New Roman" w:eastAsia="仿宋_GB2312" w:hAnsi="Times New Roman" w:cs="Times New Roman"/>
                <w:kern w:val="0"/>
                <w:sz w:val="24"/>
                <w:szCs w:val="24"/>
                <w:lang w:val="zh-CN"/>
              </w:rPr>
              <w:t>30</w:t>
            </w:r>
            <w:r>
              <w:rPr>
                <w:rFonts w:ascii="Times New Roman" w:eastAsia="仿宋_GB2312" w:hAnsi="Times New Roman" w:cs="Times New Roman"/>
                <w:kern w:val="0"/>
                <w:sz w:val="24"/>
                <w:szCs w:val="24"/>
                <w:lang w:val="zh-CN"/>
              </w:rPr>
              <w:t>万元；</w:t>
            </w:r>
          </w:p>
          <w:p w14:paraId="2E8CC832"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每次事故每人财产损失赔偿限额：</w:t>
            </w:r>
            <w:r>
              <w:rPr>
                <w:rFonts w:ascii="Times New Roman" w:eastAsia="仿宋_GB2312" w:hAnsi="Times New Roman" w:cs="Times New Roman"/>
                <w:kern w:val="0"/>
                <w:sz w:val="24"/>
                <w:szCs w:val="24"/>
                <w:lang w:val="zh-CN"/>
              </w:rPr>
              <w:t>2</w:t>
            </w:r>
            <w:r>
              <w:rPr>
                <w:rFonts w:ascii="Times New Roman" w:eastAsia="仿宋_GB2312" w:hAnsi="Times New Roman" w:cs="Times New Roman"/>
                <w:kern w:val="0"/>
                <w:sz w:val="24"/>
                <w:szCs w:val="24"/>
                <w:lang w:val="zh-CN"/>
              </w:rPr>
              <w:t>万元；</w:t>
            </w:r>
          </w:p>
          <w:p w14:paraId="69E8F7FC"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每次事故财产损失赔偿限额：</w:t>
            </w:r>
            <w:r>
              <w:rPr>
                <w:rFonts w:ascii="Times New Roman" w:eastAsia="仿宋_GB2312" w:hAnsi="Times New Roman" w:cs="Times New Roman"/>
                <w:kern w:val="0"/>
                <w:sz w:val="24"/>
                <w:szCs w:val="24"/>
                <w:lang w:val="zh-CN"/>
              </w:rPr>
              <w:t>100</w:t>
            </w:r>
            <w:r>
              <w:rPr>
                <w:rFonts w:ascii="Times New Roman" w:eastAsia="仿宋_GB2312" w:hAnsi="Times New Roman" w:cs="Times New Roman"/>
                <w:kern w:val="0"/>
                <w:sz w:val="24"/>
                <w:szCs w:val="24"/>
                <w:lang w:val="zh-CN"/>
              </w:rPr>
              <w:t>万元；</w:t>
            </w:r>
          </w:p>
          <w:p w14:paraId="297E65E0" w14:textId="77777777" w:rsidR="00245E17" w:rsidRDefault="0052434C">
            <w:pPr>
              <w:autoSpaceDE w:val="0"/>
              <w:autoSpaceDN w:val="0"/>
              <w:adjustRightInd w:val="0"/>
              <w:snapToGrid w:val="0"/>
              <w:rPr>
                <w:rFonts w:ascii="Times New Roman" w:eastAsia="仿宋_GB2312" w:hAnsi="Times New Roman" w:cs="Times New Roman"/>
                <w:kern w:val="0"/>
                <w:sz w:val="24"/>
                <w:szCs w:val="24"/>
                <w:lang w:val="zh-CN"/>
              </w:rPr>
            </w:pPr>
            <w:r>
              <w:rPr>
                <w:rFonts w:ascii="Times New Roman" w:eastAsia="仿宋_GB2312" w:hAnsi="Times New Roman" w:cs="Times New Roman"/>
                <w:kern w:val="0"/>
                <w:sz w:val="24"/>
                <w:szCs w:val="24"/>
                <w:lang w:val="zh-CN"/>
              </w:rPr>
              <w:t>每次事故法律费用赔偿限额：</w:t>
            </w:r>
            <w:r>
              <w:rPr>
                <w:rFonts w:ascii="Times New Roman" w:eastAsia="仿宋_GB2312" w:hAnsi="Times New Roman" w:cs="Times New Roman"/>
                <w:kern w:val="0"/>
                <w:sz w:val="24"/>
                <w:szCs w:val="24"/>
                <w:lang w:val="zh-CN"/>
              </w:rPr>
              <w:t>10</w:t>
            </w:r>
            <w:r>
              <w:rPr>
                <w:rFonts w:ascii="Times New Roman" w:eastAsia="仿宋_GB2312" w:hAnsi="Times New Roman" w:cs="Times New Roman"/>
                <w:kern w:val="0"/>
                <w:sz w:val="24"/>
                <w:szCs w:val="24"/>
                <w:lang w:val="zh-CN"/>
              </w:rPr>
              <w:t>万元；</w:t>
            </w:r>
          </w:p>
          <w:p w14:paraId="7117085B" w14:textId="77777777" w:rsidR="00245E17" w:rsidRDefault="0052434C">
            <w:pPr>
              <w:autoSpaceDE w:val="0"/>
              <w:autoSpaceDN w:val="0"/>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val="zh-CN"/>
              </w:rPr>
              <w:t>1</w:t>
            </w:r>
            <w:r>
              <w:rPr>
                <w:rFonts w:ascii="Times New Roman" w:eastAsia="仿宋_GB2312" w:hAnsi="Times New Roman" w:cs="Times New Roman"/>
                <w:kern w:val="0"/>
                <w:sz w:val="24"/>
                <w:szCs w:val="24"/>
                <w:lang w:val="zh-CN"/>
              </w:rPr>
              <w:t>、附加境外责任保险（</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lang w:val="zh-CN"/>
              </w:rPr>
              <w:t>00</w:t>
            </w:r>
            <w:r>
              <w:rPr>
                <w:rFonts w:ascii="Times New Roman" w:eastAsia="仿宋_GB2312" w:hAnsi="Times New Roman" w:cs="Times New Roman"/>
                <w:kern w:val="0"/>
                <w:sz w:val="24"/>
                <w:szCs w:val="24"/>
                <w:lang w:val="zh-CN"/>
              </w:rPr>
              <w:t>人）：每次事故每人赔偿限额</w:t>
            </w:r>
            <w:r>
              <w:rPr>
                <w:rFonts w:ascii="Times New Roman" w:eastAsia="仿宋_GB2312" w:hAnsi="Times New Roman" w:cs="Times New Roman"/>
                <w:kern w:val="0"/>
                <w:sz w:val="24"/>
                <w:szCs w:val="24"/>
                <w:lang w:val="zh-CN"/>
              </w:rPr>
              <w:t>¥</w:t>
            </w:r>
            <w:r>
              <w:rPr>
                <w:rFonts w:ascii="Times New Roman" w:eastAsia="仿宋_GB2312" w:hAnsi="Times New Roman" w:cs="Times New Roman"/>
                <w:kern w:val="0"/>
                <w:sz w:val="24"/>
                <w:szCs w:val="24"/>
              </w:rPr>
              <w:t>300,000.00</w:t>
            </w:r>
            <w:r>
              <w:rPr>
                <w:rFonts w:ascii="Times New Roman" w:eastAsia="仿宋_GB2312" w:hAnsi="Times New Roman" w:cs="Times New Roman"/>
                <w:kern w:val="0"/>
                <w:sz w:val="24"/>
                <w:szCs w:val="24"/>
                <w:lang w:val="zh-CN"/>
              </w:rPr>
              <w:t>元；</w:t>
            </w:r>
            <w:r>
              <w:rPr>
                <w:rFonts w:ascii="Times New Roman" w:eastAsia="仿宋_GB2312" w:hAnsi="Times New Roman" w:cs="Times New Roman"/>
                <w:kern w:val="0"/>
                <w:sz w:val="24"/>
                <w:szCs w:val="24"/>
              </w:rPr>
              <w:t xml:space="preserve"> </w:t>
            </w:r>
          </w:p>
          <w:p w14:paraId="1BA87DED" w14:textId="77777777" w:rsidR="00245E17" w:rsidRDefault="0052434C">
            <w:pPr>
              <w:autoSpaceDE w:val="0"/>
              <w:autoSpaceDN w:val="0"/>
              <w:adjustRightInd w:val="0"/>
              <w:snapToGrid w:val="0"/>
              <w:rPr>
                <w:rFonts w:ascii="Times New Roman" w:eastAsia="仿宋_GB2312" w:hAnsi="Times New Roman" w:cs="Times New Roman"/>
                <w:sz w:val="24"/>
                <w:szCs w:val="24"/>
              </w:rPr>
            </w:pPr>
            <w:r>
              <w:rPr>
                <w:rFonts w:ascii="Times New Roman" w:eastAsia="仿宋_GB2312" w:hAnsi="Times New Roman" w:cs="Times New Roman"/>
                <w:kern w:val="0"/>
                <w:sz w:val="24"/>
                <w:szCs w:val="24"/>
                <w:lang w:val="zh-CN"/>
              </w:rPr>
              <w:t>2</w:t>
            </w:r>
            <w:r>
              <w:rPr>
                <w:rFonts w:ascii="Times New Roman" w:eastAsia="仿宋_GB2312" w:hAnsi="Times New Roman" w:cs="Times New Roman"/>
                <w:kern w:val="0"/>
                <w:sz w:val="24"/>
                <w:szCs w:val="24"/>
                <w:lang w:val="zh-CN"/>
              </w:rPr>
              <w:t>、附加注册学生第三者责任保险：每次事故每人赔偿限额</w:t>
            </w:r>
            <w:r>
              <w:rPr>
                <w:rFonts w:ascii="Times New Roman" w:eastAsia="仿宋_GB2312" w:hAnsi="Times New Roman" w:cs="Times New Roman"/>
                <w:kern w:val="0"/>
                <w:sz w:val="24"/>
                <w:szCs w:val="24"/>
                <w:lang w:val="zh-CN"/>
              </w:rPr>
              <w:t>¥</w:t>
            </w:r>
            <w:r>
              <w:rPr>
                <w:rFonts w:ascii="Times New Roman" w:eastAsia="仿宋_GB2312" w:hAnsi="Times New Roman" w:cs="Times New Roman"/>
                <w:kern w:val="0"/>
                <w:sz w:val="24"/>
                <w:szCs w:val="24"/>
              </w:rPr>
              <w:t>300,000.00</w:t>
            </w:r>
            <w:r>
              <w:rPr>
                <w:rFonts w:ascii="Times New Roman" w:eastAsia="仿宋_GB2312" w:hAnsi="Times New Roman" w:cs="Times New Roman"/>
                <w:kern w:val="0"/>
                <w:sz w:val="24"/>
                <w:szCs w:val="24"/>
                <w:lang w:val="zh-CN"/>
              </w:rPr>
              <w:t>元。</w:t>
            </w:r>
          </w:p>
        </w:tc>
        <w:tc>
          <w:tcPr>
            <w:tcW w:w="735" w:type="dxa"/>
            <w:tcBorders>
              <w:tl2br w:val="nil"/>
              <w:tr2bl w:val="nil"/>
            </w:tcBorders>
            <w:shd w:val="clear" w:color="auto" w:fill="FDFAF5"/>
            <w:tcMar>
              <w:left w:w="105" w:type="dxa"/>
              <w:right w:w="105" w:type="dxa"/>
            </w:tcMar>
            <w:vAlign w:val="center"/>
          </w:tcPr>
          <w:p w14:paraId="29F3B21C"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200</w:t>
            </w:r>
            <w:r>
              <w:rPr>
                <w:rFonts w:ascii="Times New Roman" w:eastAsia="仿宋_GB2312" w:hAnsi="Times New Roman" w:cs="Times New Roman"/>
                <w:kern w:val="2"/>
              </w:rPr>
              <w:t>元</w:t>
            </w:r>
          </w:p>
        </w:tc>
        <w:tc>
          <w:tcPr>
            <w:tcW w:w="735" w:type="dxa"/>
            <w:tcBorders>
              <w:tl2br w:val="nil"/>
              <w:tr2bl w:val="nil"/>
            </w:tcBorders>
            <w:shd w:val="clear" w:color="auto" w:fill="FDFAF5"/>
            <w:tcMar>
              <w:left w:w="105" w:type="dxa"/>
              <w:right w:w="105" w:type="dxa"/>
            </w:tcMar>
            <w:vAlign w:val="center"/>
          </w:tcPr>
          <w:p w14:paraId="05049AD1"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不记名</w:t>
            </w:r>
          </w:p>
        </w:tc>
      </w:tr>
      <w:tr w:rsidR="00245E17" w14:paraId="59341C9D" w14:textId="77777777">
        <w:trPr>
          <w:trHeight w:val="1826"/>
          <w:tblCellSpacing w:w="0" w:type="dxa"/>
          <w:jc w:val="center"/>
        </w:trPr>
        <w:tc>
          <w:tcPr>
            <w:tcW w:w="1456" w:type="dxa"/>
            <w:tcBorders>
              <w:tl2br w:val="nil"/>
              <w:tr2bl w:val="nil"/>
            </w:tcBorders>
            <w:shd w:val="clear" w:color="auto" w:fill="FDFAF5"/>
            <w:tcMar>
              <w:left w:w="105" w:type="dxa"/>
              <w:right w:w="105" w:type="dxa"/>
            </w:tcMar>
            <w:vAlign w:val="center"/>
          </w:tcPr>
          <w:p w14:paraId="3E4C85EB" w14:textId="77777777" w:rsidR="00245E17" w:rsidRDefault="0052434C">
            <w:pPr>
              <w:pStyle w:val="a7"/>
              <w:adjustRightInd w:val="0"/>
              <w:snapToGrid w:val="0"/>
              <w:spacing w:beforeAutospacing="0" w:afterAutospacing="0"/>
              <w:rPr>
                <w:rFonts w:ascii="Times New Roman" w:eastAsia="仿宋_GB2312" w:hAnsi="Times New Roman" w:cs="Times New Roman"/>
              </w:rPr>
            </w:pPr>
            <w:r>
              <w:rPr>
                <w:rFonts w:ascii="Times New Roman" w:eastAsia="仿宋_GB2312" w:hAnsi="Times New Roman" w:cs="Times New Roman"/>
              </w:rPr>
              <w:t>《教职员工校（园）方责任保险条款》</w:t>
            </w:r>
          </w:p>
        </w:tc>
        <w:tc>
          <w:tcPr>
            <w:tcW w:w="750" w:type="dxa"/>
            <w:tcBorders>
              <w:tl2br w:val="nil"/>
              <w:tr2bl w:val="nil"/>
            </w:tcBorders>
            <w:shd w:val="clear" w:color="auto" w:fill="FDFAF5"/>
            <w:tcMar>
              <w:left w:w="105" w:type="dxa"/>
              <w:right w:w="105" w:type="dxa"/>
            </w:tcMar>
            <w:vAlign w:val="center"/>
          </w:tcPr>
          <w:p w14:paraId="18BA680F"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壹年</w:t>
            </w:r>
          </w:p>
        </w:tc>
        <w:tc>
          <w:tcPr>
            <w:tcW w:w="4920" w:type="dxa"/>
            <w:tcBorders>
              <w:tl2br w:val="nil"/>
              <w:tr2bl w:val="nil"/>
            </w:tcBorders>
            <w:shd w:val="clear" w:color="auto" w:fill="FDFAF5"/>
            <w:tcMar>
              <w:left w:w="105" w:type="dxa"/>
              <w:right w:w="105" w:type="dxa"/>
            </w:tcMar>
            <w:vAlign w:val="center"/>
          </w:tcPr>
          <w:p w14:paraId="4236B934" w14:textId="77777777" w:rsidR="00245E17" w:rsidRDefault="0052434C">
            <w:pPr>
              <w:autoSpaceDE w:val="0"/>
              <w:autoSpaceDN w:val="0"/>
              <w:adjustRightInd w:val="0"/>
              <w:snapToGrid w:val="0"/>
              <w:rPr>
                <w:rFonts w:ascii="Times New Roman" w:eastAsia="仿宋_GB2312" w:hAnsi="Times New Roman" w:cs="Times New Roman"/>
                <w:bCs/>
                <w:kern w:val="0"/>
                <w:sz w:val="24"/>
                <w:szCs w:val="24"/>
                <w:lang w:val="zh-CN"/>
              </w:rPr>
            </w:pPr>
            <w:r>
              <w:rPr>
                <w:rFonts w:ascii="Times New Roman" w:eastAsia="仿宋_GB2312" w:hAnsi="Times New Roman" w:cs="Times New Roman"/>
                <w:bCs/>
                <w:kern w:val="0"/>
                <w:sz w:val="24"/>
                <w:szCs w:val="24"/>
                <w:lang w:val="zh-CN"/>
              </w:rPr>
              <w:t>死亡：</w:t>
            </w:r>
            <w:r>
              <w:rPr>
                <w:rFonts w:ascii="Times New Roman" w:eastAsia="仿宋_GB2312" w:hAnsi="Times New Roman" w:cs="Times New Roman"/>
                <w:bCs/>
                <w:kern w:val="0"/>
                <w:sz w:val="24"/>
                <w:szCs w:val="24"/>
                <w:lang w:val="zh-CN"/>
              </w:rPr>
              <w:t>40</w:t>
            </w:r>
            <w:r>
              <w:rPr>
                <w:rFonts w:ascii="Times New Roman" w:eastAsia="仿宋_GB2312" w:hAnsi="Times New Roman" w:cs="Times New Roman"/>
                <w:bCs/>
                <w:kern w:val="0"/>
                <w:sz w:val="24"/>
                <w:szCs w:val="24"/>
                <w:lang w:val="zh-CN"/>
              </w:rPr>
              <w:t>万</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人</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年</w:t>
            </w:r>
          </w:p>
          <w:p w14:paraId="486BCABE" w14:textId="77777777" w:rsidR="00245E17" w:rsidRDefault="0052434C">
            <w:pPr>
              <w:autoSpaceDE w:val="0"/>
              <w:autoSpaceDN w:val="0"/>
              <w:adjustRightInd w:val="0"/>
              <w:snapToGrid w:val="0"/>
              <w:rPr>
                <w:rFonts w:ascii="Times New Roman" w:eastAsia="仿宋_GB2312" w:hAnsi="Times New Roman" w:cs="Times New Roman"/>
                <w:bCs/>
                <w:kern w:val="0"/>
                <w:sz w:val="24"/>
                <w:szCs w:val="24"/>
                <w:lang w:val="zh-CN"/>
              </w:rPr>
            </w:pPr>
            <w:r>
              <w:rPr>
                <w:rFonts w:ascii="Times New Roman" w:eastAsia="仿宋_GB2312" w:hAnsi="Times New Roman" w:cs="Times New Roman"/>
                <w:bCs/>
                <w:kern w:val="0"/>
                <w:sz w:val="24"/>
                <w:szCs w:val="24"/>
                <w:lang w:val="zh-CN"/>
              </w:rPr>
              <w:t>伤残：</w:t>
            </w:r>
            <w:r>
              <w:rPr>
                <w:rFonts w:ascii="Times New Roman" w:eastAsia="仿宋_GB2312" w:hAnsi="Times New Roman" w:cs="Times New Roman"/>
                <w:bCs/>
                <w:kern w:val="0"/>
                <w:sz w:val="24"/>
                <w:szCs w:val="24"/>
                <w:lang w:val="zh-CN"/>
              </w:rPr>
              <w:t>50</w:t>
            </w:r>
            <w:r>
              <w:rPr>
                <w:rFonts w:ascii="Times New Roman" w:eastAsia="仿宋_GB2312" w:hAnsi="Times New Roman" w:cs="Times New Roman"/>
                <w:bCs/>
                <w:kern w:val="0"/>
                <w:sz w:val="24"/>
                <w:szCs w:val="24"/>
                <w:lang w:val="zh-CN"/>
              </w:rPr>
              <w:t>万</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人</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年</w:t>
            </w:r>
          </w:p>
          <w:p w14:paraId="6A4DC678" w14:textId="77777777" w:rsidR="00245E17" w:rsidRDefault="0052434C">
            <w:pPr>
              <w:autoSpaceDE w:val="0"/>
              <w:autoSpaceDN w:val="0"/>
              <w:adjustRightInd w:val="0"/>
              <w:snapToGrid w:val="0"/>
              <w:rPr>
                <w:rFonts w:ascii="Times New Roman" w:eastAsia="仿宋_GB2312" w:hAnsi="Times New Roman" w:cs="Times New Roman"/>
                <w:bCs/>
                <w:kern w:val="0"/>
                <w:sz w:val="24"/>
                <w:szCs w:val="24"/>
                <w:lang w:val="zh-CN"/>
              </w:rPr>
            </w:pPr>
            <w:r>
              <w:rPr>
                <w:rFonts w:ascii="Times New Roman" w:eastAsia="仿宋_GB2312" w:hAnsi="Times New Roman" w:cs="Times New Roman"/>
                <w:bCs/>
                <w:kern w:val="0"/>
                <w:sz w:val="24"/>
                <w:szCs w:val="24"/>
                <w:lang w:val="zh-CN"/>
              </w:rPr>
              <w:t>额外费用：</w:t>
            </w:r>
            <w:r>
              <w:rPr>
                <w:rFonts w:ascii="Times New Roman" w:eastAsia="仿宋_GB2312" w:hAnsi="Times New Roman" w:cs="Times New Roman"/>
                <w:bCs/>
                <w:kern w:val="0"/>
                <w:sz w:val="24"/>
                <w:szCs w:val="24"/>
                <w:lang w:val="zh-CN"/>
              </w:rPr>
              <w:t>2</w:t>
            </w:r>
            <w:r>
              <w:rPr>
                <w:rFonts w:ascii="Times New Roman" w:eastAsia="仿宋_GB2312" w:hAnsi="Times New Roman" w:cs="Times New Roman"/>
                <w:bCs/>
                <w:kern w:val="0"/>
                <w:sz w:val="24"/>
                <w:szCs w:val="24"/>
                <w:lang w:val="zh-CN"/>
              </w:rPr>
              <w:t>万</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人</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年</w:t>
            </w:r>
          </w:p>
          <w:p w14:paraId="44C3D591" w14:textId="77777777" w:rsidR="00245E17" w:rsidRDefault="0052434C">
            <w:pPr>
              <w:autoSpaceDE w:val="0"/>
              <w:autoSpaceDN w:val="0"/>
              <w:adjustRightInd w:val="0"/>
              <w:snapToGrid w:val="0"/>
              <w:rPr>
                <w:rFonts w:ascii="Times New Roman" w:eastAsia="仿宋_GB2312" w:hAnsi="Times New Roman" w:cs="Times New Roman"/>
                <w:bCs/>
                <w:kern w:val="0"/>
                <w:sz w:val="24"/>
                <w:szCs w:val="24"/>
                <w:lang w:val="zh-CN"/>
              </w:rPr>
            </w:pPr>
            <w:r>
              <w:rPr>
                <w:rFonts w:ascii="Times New Roman" w:eastAsia="仿宋_GB2312" w:hAnsi="Times New Roman" w:cs="Times New Roman"/>
                <w:bCs/>
                <w:kern w:val="0"/>
                <w:sz w:val="24"/>
                <w:szCs w:val="24"/>
                <w:lang w:val="zh-CN"/>
              </w:rPr>
              <w:t>医疗费用：</w:t>
            </w:r>
            <w:r>
              <w:rPr>
                <w:rFonts w:ascii="Times New Roman" w:eastAsia="仿宋_GB2312" w:hAnsi="Times New Roman" w:cs="Times New Roman"/>
                <w:bCs/>
                <w:kern w:val="0"/>
                <w:sz w:val="24"/>
                <w:szCs w:val="24"/>
                <w:lang w:val="zh-CN"/>
              </w:rPr>
              <w:t>10</w:t>
            </w:r>
            <w:r>
              <w:rPr>
                <w:rFonts w:ascii="Times New Roman" w:eastAsia="仿宋_GB2312" w:hAnsi="Times New Roman" w:cs="Times New Roman"/>
                <w:bCs/>
                <w:kern w:val="0"/>
                <w:sz w:val="24"/>
                <w:szCs w:val="24"/>
                <w:lang w:val="zh-CN"/>
              </w:rPr>
              <w:t>万</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人</w:t>
            </w:r>
            <w:r>
              <w:rPr>
                <w:rFonts w:ascii="Times New Roman" w:eastAsia="仿宋_GB2312" w:hAnsi="Times New Roman" w:cs="Times New Roman"/>
                <w:bCs/>
                <w:kern w:val="0"/>
                <w:sz w:val="24"/>
                <w:szCs w:val="24"/>
                <w:lang w:val="zh-CN"/>
              </w:rPr>
              <w:t>/</w:t>
            </w:r>
            <w:r>
              <w:rPr>
                <w:rFonts w:ascii="Times New Roman" w:eastAsia="仿宋_GB2312" w:hAnsi="Times New Roman" w:cs="Times New Roman"/>
                <w:bCs/>
                <w:kern w:val="0"/>
                <w:sz w:val="24"/>
                <w:szCs w:val="24"/>
                <w:lang w:val="zh-CN"/>
              </w:rPr>
              <w:t>年</w:t>
            </w:r>
          </w:p>
          <w:p w14:paraId="27E4EBB3" w14:textId="77777777" w:rsidR="00245E17" w:rsidRDefault="0052434C">
            <w:pPr>
              <w:pStyle w:val="a7"/>
              <w:adjustRightInd w:val="0"/>
              <w:snapToGrid w:val="0"/>
              <w:spacing w:beforeAutospacing="0" w:afterAutospacing="0"/>
              <w:rPr>
                <w:rFonts w:ascii="Times New Roman" w:eastAsia="仿宋_GB2312" w:hAnsi="Times New Roman" w:cs="Times New Roman"/>
                <w:kern w:val="2"/>
              </w:rPr>
            </w:pPr>
            <w:r>
              <w:rPr>
                <w:rFonts w:ascii="Times New Roman" w:eastAsia="仿宋_GB2312" w:hAnsi="Times New Roman" w:cs="Times New Roman"/>
                <w:bCs/>
                <w:lang w:val="zh-CN"/>
              </w:rPr>
              <w:t>诉讼费用：</w:t>
            </w:r>
            <w:r>
              <w:rPr>
                <w:rFonts w:ascii="Times New Roman" w:eastAsia="仿宋_GB2312" w:hAnsi="Times New Roman" w:cs="Times New Roman"/>
                <w:bCs/>
                <w:lang w:val="zh-CN"/>
              </w:rPr>
              <w:t>2</w:t>
            </w:r>
            <w:r>
              <w:rPr>
                <w:rFonts w:ascii="Times New Roman" w:eastAsia="仿宋_GB2312" w:hAnsi="Times New Roman" w:cs="Times New Roman"/>
                <w:bCs/>
                <w:lang w:val="zh-CN"/>
              </w:rPr>
              <w:t>万</w:t>
            </w:r>
            <w:r>
              <w:rPr>
                <w:rFonts w:ascii="Times New Roman" w:eastAsia="仿宋_GB2312" w:hAnsi="Times New Roman" w:cs="Times New Roman"/>
                <w:bCs/>
                <w:lang w:val="zh-CN"/>
              </w:rPr>
              <w:t>/</w:t>
            </w:r>
            <w:r>
              <w:rPr>
                <w:rFonts w:ascii="Times New Roman" w:eastAsia="仿宋_GB2312" w:hAnsi="Times New Roman" w:cs="Times New Roman"/>
                <w:bCs/>
                <w:lang w:val="zh-CN"/>
              </w:rPr>
              <w:t>人</w:t>
            </w:r>
            <w:r>
              <w:rPr>
                <w:rFonts w:ascii="Times New Roman" w:eastAsia="仿宋_GB2312" w:hAnsi="Times New Roman" w:cs="Times New Roman"/>
                <w:bCs/>
                <w:lang w:val="zh-CN"/>
              </w:rPr>
              <w:t>/</w:t>
            </w:r>
            <w:r>
              <w:rPr>
                <w:rFonts w:ascii="Times New Roman" w:eastAsia="仿宋_GB2312" w:hAnsi="Times New Roman" w:cs="Times New Roman"/>
                <w:bCs/>
                <w:lang w:val="zh-CN"/>
              </w:rPr>
              <w:t>年</w:t>
            </w:r>
          </w:p>
        </w:tc>
        <w:tc>
          <w:tcPr>
            <w:tcW w:w="735" w:type="dxa"/>
            <w:tcBorders>
              <w:tl2br w:val="nil"/>
              <w:tr2bl w:val="nil"/>
            </w:tcBorders>
            <w:shd w:val="clear" w:color="auto" w:fill="FDFAF5"/>
            <w:tcMar>
              <w:left w:w="105" w:type="dxa"/>
              <w:right w:w="105" w:type="dxa"/>
            </w:tcMar>
            <w:vAlign w:val="center"/>
          </w:tcPr>
          <w:p w14:paraId="14330B92"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bCs/>
                <w:lang w:val="zh-CN"/>
              </w:rPr>
              <w:t>无免赔</w:t>
            </w:r>
          </w:p>
        </w:tc>
        <w:tc>
          <w:tcPr>
            <w:tcW w:w="735" w:type="dxa"/>
            <w:tcBorders>
              <w:tl2br w:val="nil"/>
              <w:tr2bl w:val="nil"/>
            </w:tcBorders>
            <w:shd w:val="clear" w:color="auto" w:fill="FDFAF5"/>
            <w:tcMar>
              <w:left w:w="105" w:type="dxa"/>
              <w:right w:w="105" w:type="dxa"/>
            </w:tcMar>
            <w:vAlign w:val="center"/>
          </w:tcPr>
          <w:p w14:paraId="054F95D7"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记名</w:t>
            </w:r>
          </w:p>
        </w:tc>
      </w:tr>
      <w:tr w:rsidR="00245E17" w14:paraId="138AF4ED" w14:textId="77777777">
        <w:trPr>
          <w:trHeight w:val="1228"/>
          <w:tblCellSpacing w:w="0" w:type="dxa"/>
          <w:jc w:val="center"/>
        </w:trPr>
        <w:tc>
          <w:tcPr>
            <w:tcW w:w="1456" w:type="dxa"/>
            <w:tcBorders>
              <w:tl2br w:val="nil"/>
              <w:tr2bl w:val="nil"/>
            </w:tcBorders>
            <w:shd w:val="clear" w:color="auto" w:fill="FDFAF5"/>
            <w:tcMar>
              <w:left w:w="105" w:type="dxa"/>
              <w:right w:w="105" w:type="dxa"/>
            </w:tcMar>
            <w:vAlign w:val="center"/>
          </w:tcPr>
          <w:p w14:paraId="3F3AA620"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赔付时限</w:t>
            </w:r>
          </w:p>
        </w:tc>
        <w:tc>
          <w:tcPr>
            <w:tcW w:w="7140" w:type="dxa"/>
            <w:gridSpan w:val="4"/>
            <w:tcBorders>
              <w:tl2br w:val="nil"/>
              <w:tr2bl w:val="nil"/>
            </w:tcBorders>
            <w:shd w:val="clear" w:color="auto" w:fill="FDFAF5"/>
            <w:tcMar>
              <w:left w:w="105" w:type="dxa"/>
              <w:right w:w="105" w:type="dxa"/>
            </w:tcMar>
            <w:vAlign w:val="center"/>
          </w:tcPr>
          <w:p w14:paraId="4803F377"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2</w:t>
            </w:r>
            <w:r>
              <w:rPr>
                <w:rFonts w:ascii="Times New Roman" w:eastAsia="仿宋_GB2312" w:hAnsi="Times New Roman" w:cs="Times New Roman"/>
                <w:kern w:val="2"/>
              </w:rPr>
              <w:t>万元</w:t>
            </w:r>
            <w:r>
              <w:rPr>
                <w:rFonts w:ascii="Times New Roman" w:eastAsia="仿宋_GB2312" w:hAnsi="Times New Roman" w:cs="Times New Roman"/>
                <w:kern w:val="2"/>
              </w:rPr>
              <w:t>3</w:t>
            </w:r>
            <w:r>
              <w:rPr>
                <w:rFonts w:ascii="Times New Roman" w:eastAsia="仿宋_GB2312" w:hAnsi="Times New Roman" w:cs="Times New Roman"/>
                <w:kern w:val="2"/>
              </w:rPr>
              <w:t>个工作日</w:t>
            </w:r>
          </w:p>
          <w:p w14:paraId="5A9FEDE7"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10</w:t>
            </w:r>
            <w:r>
              <w:rPr>
                <w:rFonts w:ascii="Times New Roman" w:eastAsia="仿宋_GB2312" w:hAnsi="Times New Roman" w:cs="Times New Roman"/>
                <w:kern w:val="2"/>
              </w:rPr>
              <w:t>万元</w:t>
            </w:r>
            <w:r>
              <w:rPr>
                <w:rFonts w:ascii="Times New Roman" w:eastAsia="仿宋_GB2312" w:hAnsi="Times New Roman" w:cs="Times New Roman"/>
                <w:kern w:val="2"/>
              </w:rPr>
              <w:t>5</w:t>
            </w:r>
            <w:r>
              <w:rPr>
                <w:rFonts w:ascii="Times New Roman" w:eastAsia="仿宋_GB2312" w:hAnsi="Times New Roman" w:cs="Times New Roman"/>
                <w:kern w:val="2"/>
              </w:rPr>
              <w:t>个工作日</w:t>
            </w:r>
          </w:p>
          <w:p w14:paraId="4476904F" w14:textId="77777777" w:rsidR="00245E17" w:rsidRDefault="0052434C">
            <w:pPr>
              <w:pStyle w:val="a7"/>
              <w:adjustRightInd w:val="0"/>
              <w:snapToGrid w:val="0"/>
              <w:spacing w:beforeAutospacing="0" w:afterAutospacing="0"/>
              <w:jc w:val="center"/>
              <w:rPr>
                <w:rFonts w:ascii="Times New Roman" w:eastAsia="仿宋_GB2312" w:hAnsi="Times New Roman" w:cs="Times New Roman"/>
                <w:kern w:val="2"/>
              </w:rPr>
            </w:pPr>
            <w:r>
              <w:rPr>
                <w:rFonts w:ascii="Times New Roman" w:eastAsia="仿宋_GB2312" w:hAnsi="Times New Roman" w:cs="Times New Roman"/>
                <w:kern w:val="2"/>
              </w:rPr>
              <w:t>50</w:t>
            </w:r>
            <w:r>
              <w:rPr>
                <w:rFonts w:ascii="Times New Roman" w:eastAsia="仿宋_GB2312" w:hAnsi="Times New Roman" w:cs="Times New Roman"/>
                <w:kern w:val="2"/>
              </w:rPr>
              <w:t>万元</w:t>
            </w:r>
            <w:r>
              <w:rPr>
                <w:rFonts w:ascii="Times New Roman" w:eastAsia="仿宋_GB2312" w:hAnsi="Times New Roman" w:cs="Times New Roman"/>
                <w:kern w:val="2"/>
              </w:rPr>
              <w:t>10</w:t>
            </w:r>
            <w:r>
              <w:rPr>
                <w:rFonts w:ascii="Times New Roman" w:eastAsia="仿宋_GB2312" w:hAnsi="Times New Roman" w:cs="Times New Roman"/>
                <w:kern w:val="2"/>
              </w:rPr>
              <w:t>个工作日</w:t>
            </w:r>
          </w:p>
        </w:tc>
      </w:tr>
    </w:tbl>
    <w:p w14:paraId="54E2F3D9" w14:textId="77777777" w:rsidR="00245E17" w:rsidRDefault="0052434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、项目预算上限：￥</w:t>
      </w:r>
      <w:r>
        <w:rPr>
          <w:rFonts w:ascii="Times New Roman" w:eastAsia="仿宋_GB2312" w:hAnsi="Times New Roman" w:cs="Times New Roman"/>
          <w:sz w:val="32"/>
          <w:szCs w:val="32"/>
        </w:rPr>
        <w:t>251560</w:t>
      </w:r>
      <w:r>
        <w:rPr>
          <w:rFonts w:ascii="Times New Roman" w:eastAsia="仿宋_GB2312" w:hAnsi="Times New Roman" w:cs="Times New Roman"/>
          <w:sz w:val="32"/>
          <w:szCs w:val="32"/>
        </w:rPr>
        <w:t>元（大写：贰拾伍万壹仟伍</w:t>
      </w:r>
      <w:r>
        <w:rPr>
          <w:rFonts w:ascii="Times New Roman" w:eastAsia="仿宋_GB2312" w:hAnsi="Times New Roman" w:cs="Times New Roman" w:hint="eastAsia"/>
          <w:sz w:val="32"/>
          <w:szCs w:val="32"/>
        </w:rPr>
        <w:t>佰</w:t>
      </w:r>
      <w:r>
        <w:rPr>
          <w:rFonts w:ascii="Times New Roman" w:eastAsia="仿宋_GB2312" w:hAnsi="Times New Roman" w:cs="Times New Roman"/>
          <w:sz w:val="32"/>
          <w:szCs w:val="32"/>
        </w:rPr>
        <w:t>陆拾元整）。</w:t>
      </w:r>
    </w:p>
    <w:p w14:paraId="21B1BE2D"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、合格的保险公司应具备公告中列明的所有资格要求。</w:t>
      </w:r>
    </w:p>
    <w:p w14:paraId="3AD97EDE" w14:textId="27B850A7" w:rsidR="00245E17" w:rsidRDefault="0052434C" w:rsidP="00A0508B">
      <w:pPr>
        <w:pStyle w:val="a7"/>
        <w:adjustRightInd w:val="0"/>
        <w:snapToGrid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w:t>
      </w:r>
      <w:r w:rsidR="00D610E3">
        <w:rPr>
          <w:rFonts w:ascii="Times New Roman" w:eastAsia="仿宋_GB2312" w:hAnsi="Times New Roman" w:cs="Times New Roman"/>
          <w:kern w:val="2"/>
          <w:sz w:val="32"/>
          <w:szCs w:val="32"/>
        </w:rPr>
        <w:t>符合条件的，均可在自愿遵守本询价要求的前提下进行报价，并要求被询价的保险公司一次性报出不得更改的价格。对于不符合以上要求的保险公司所递交的报价文件，恕不接受。</w:t>
      </w:r>
    </w:p>
    <w:p w14:paraId="44E4DF2B" w14:textId="6B0FD7B3"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、采购方式：</w:t>
      </w:r>
      <w:r w:rsidR="003B4726">
        <w:rPr>
          <w:rFonts w:ascii="Times New Roman" w:eastAsia="仿宋_GB2312" w:hAnsi="Times New Roman" w:cs="Times New Roman" w:hint="eastAsia"/>
          <w:kern w:val="2"/>
          <w:sz w:val="32"/>
          <w:szCs w:val="32"/>
        </w:rPr>
        <w:t>询价</w:t>
      </w:r>
      <w:r>
        <w:rPr>
          <w:rFonts w:ascii="Times New Roman" w:eastAsia="仿宋_GB2312" w:hAnsi="Times New Roman" w:cs="Times New Roman"/>
          <w:kern w:val="2"/>
          <w:sz w:val="32"/>
          <w:szCs w:val="32"/>
        </w:rPr>
        <w:t>采购。</w:t>
      </w:r>
    </w:p>
    <w:p w14:paraId="1B524A44"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投标</w:t>
      </w:r>
      <w:r>
        <w:rPr>
          <w:rFonts w:ascii="Times New Roman" w:eastAsia="仿宋_GB2312" w:hAnsi="Times New Roman" w:cs="Times New Roman"/>
          <w:kern w:val="2"/>
          <w:sz w:val="32"/>
          <w:szCs w:val="32"/>
        </w:rPr>
        <w:t>方必须提供售后服务及理赔承诺。</w:t>
      </w:r>
    </w:p>
    <w:p w14:paraId="3EF7DDC8"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、评审、定标原则：响应文件满足</w:t>
      </w:r>
      <w:r>
        <w:rPr>
          <w:rFonts w:ascii="Times New Roman" w:eastAsia="仿宋_GB2312" w:hAnsi="Times New Roman" w:cs="Times New Roman" w:hint="eastAsia"/>
          <w:kern w:val="2"/>
          <w:sz w:val="32"/>
          <w:szCs w:val="32"/>
        </w:rPr>
        <w:t>投标</w:t>
      </w:r>
      <w:r>
        <w:rPr>
          <w:rFonts w:ascii="Times New Roman" w:eastAsia="仿宋_GB2312" w:hAnsi="Times New Roman" w:cs="Times New Roman"/>
          <w:kern w:val="2"/>
          <w:sz w:val="32"/>
          <w:szCs w:val="32"/>
        </w:rPr>
        <w:t>文件全部实质性要求且按评审因素的量化指标评审得分最高的供应商为成交供应商。</w:t>
      </w:r>
    </w:p>
    <w:p w14:paraId="46041BA5"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10</w:t>
      </w:r>
      <w:r>
        <w:rPr>
          <w:rFonts w:ascii="Times New Roman" w:eastAsia="仿宋_GB2312" w:hAnsi="Times New Roman" w:cs="Times New Roman"/>
          <w:kern w:val="2"/>
          <w:sz w:val="32"/>
          <w:szCs w:val="32"/>
        </w:rPr>
        <w:t>、出现下列情况之一者，投标文件无效，作为废标处理：</w:t>
      </w:r>
    </w:p>
    <w:p w14:paraId="26A5688D"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）未提供营业执照有效复印件（加盖投标企业公章）。</w:t>
      </w:r>
    </w:p>
    <w:p w14:paraId="32A8BA5F"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投标</w:t>
      </w:r>
      <w:r>
        <w:rPr>
          <w:rFonts w:ascii="Times New Roman" w:eastAsia="仿宋_GB2312" w:hAnsi="Times New Roman" w:cs="Times New Roman"/>
          <w:kern w:val="2"/>
          <w:sz w:val="32"/>
          <w:szCs w:val="32"/>
        </w:rPr>
        <w:t>响应文件字迹模糊不清（包括提交的各类复印件、图纸）。</w:t>
      </w:r>
    </w:p>
    <w:p w14:paraId="0E029D7D"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）未提供具有合格有效的包括</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责任保险业务</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的《经营保险业务许可证》或中华人民共和国保险监督管理委员会出具的责任保险业务承保的批复。</w:t>
      </w:r>
      <w:bookmarkStart w:id="0" w:name="_GoBack"/>
      <w:bookmarkEnd w:id="0"/>
    </w:p>
    <w:p w14:paraId="1560891F"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）投标报价不确定或高于项目预算。</w:t>
      </w:r>
    </w:p>
    <w:p w14:paraId="33793365" w14:textId="77777777" w:rsidR="00245E17" w:rsidRPr="00A0508B"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sidRPr="00A0508B">
        <w:rPr>
          <w:rFonts w:ascii="Times New Roman" w:eastAsia="仿宋_GB2312" w:hAnsi="Times New Roman" w:cs="Times New Roman"/>
          <w:kern w:val="2"/>
          <w:sz w:val="32"/>
          <w:szCs w:val="32"/>
        </w:rPr>
        <w:t>11</w:t>
      </w:r>
      <w:r w:rsidRPr="00A0508B">
        <w:rPr>
          <w:rFonts w:ascii="Times New Roman" w:eastAsia="仿宋_GB2312" w:hAnsi="Times New Roman" w:cs="Times New Roman"/>
          <w:kern w:val="2"/>
          <w:sz w:val="32"/>
          <w:szCs w:val="32"/>
        </w:rPr>
        <w:t>、因本项目采购预算在广州市分散采购限额标准以下，如评审过程中通过初审的供应商不足三家的作以下处理：</w:t>
      </w:r>
    </w:p>
    <w:p w14:paraId="4BB567F5" w14:textId="77777777" w:rsidR="00245E17" w:rsidRPr="00A0508B"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sidRPr="00A0508B">
        <w:rPr>
          <w:rFonts w:ascii="Times New Roman" w:eastAsia="仿宋_GB2312" w:hAnsi="Times New Roman" w:cs="Times New Roman"/>
          <w:kern w:val="2"/>
          <w:sz w:val="32"/>
          <w:szCs w:val="32"/>
        </w:rPr>
        <w:t>（</w:t>
      </w:r>
      <w:r w:rsidRPr="00A0508B">
        <w:rPr>
          <w:rFonts w:ascii="Times New Roman" w:eastAsia="仿宋_GB2312" w:hAnsi="Times New Roman" w:cs="Times New Roman"/>
          <w:kern w:val="2"/>
          <w:sz w:val="32"/>
          <w:szCs w:val="32"/>
        </w:rPr>
        <w:t>1</w:t>
      </w:r>
      <w:r w:rsidRPr="00A0508B">
        <w:rPr>
          <w:rFonts w:ascii="Times New Roman" w:eastAsia="仿宋_GB2312" w:hAnsi="Times New Roman" w:cs="Times New Roman"/>
          <w:kern w:val="2"/>
          <w:sz w:val="32"/>
          <w:szCs w:val="32"/>
        </w:rPr>
        <w:t>）如通过初审的供应商只有两家响应供应商，可以与两家供应商继续进行评审。</w:t>
      </w:r>
    </w:p>
    <w:p w14:paraId="0961F9AC" w14:textId="77777777" w:rsidR="00245E17" w:rsidRPr="00A0508B"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sidRPr="00A0508B">
        <w:rPr>
          <w:rFonts w:ascii="Times New Roman" w:eastAsia="仿宋_GB2312" w:hAnsi="Times New Roman" w:cs="Times New Roman"/>
          <w:kern w:val="2"/>
          <w:sz w:val="32"/>
          <w:szCs w:val="32"/>
        </w:rPr>
        <w:t>（</w:t>
      </w:r>
      <w:r w:rsidRPr="00A0508B">
        <w:rPr>
          <w:rFonts w:ascii="Times New Roman" w:eastAsia="仿宋_GB2312" w:hAnsi="Times New Roman" w:cs="Times New Roman"/>
          <w:kern w:val="2"/>
          <w:sz w:val="32"/>
          <w:szCs w:val="32"/>
        </w:rPr>
        <w:t>2</w:t>
      </w:r>
      <w:r w:rsidRPr="00A0508B">
        <w:rPr>
          <w:rFonts w:ascii="Times New Roman" w:eastAsia="仿宋_GB2312" w:hAnsi="Times New Roman" w:cs="Times New Roman"/>
          <w:kern w:val="2"/>
          <w:sz w:val="32"/>
          <w:szCs w:val="32"/>
        </w:rPr>
        <w:t>）如通过初审的供应商只有一家响应供应商，则不再进行综合评分，确定该响应供应商为成交供应商。</w:t>
      </w:r>
    </w:p>
    <w:p w14:paraId="0EB402E5"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sidRPr="00A0508B">
        <w:rPr>
          <w:rFonts w:ascii="Times New Roman" w:eastAsia="仿宋_GB2312" w:hAnsi="Times New Roman" w:cs="Times New Roman"/>
          <w:kern w:val="2"/>
          <w:sz w:val="32"/>
          <w:szCs w:val="32"/>
        </w:rPr>
        <w:t>12</w:t>
      </w:r>
      <w:r w:rsidRPr="00A0508B">
        <w:rPr>
          <w:rFonts w:ascii="Times New Roman" w:eastAsia="仿宋_GB2312" w:hAnsi="Times New Roman" w:cs="Times New Roman"/>
          <w:kern w:val="2"/>
          <w:sz w:val="32"/>
          <w:szCs w:val="32"/>
        </w:rPr>
        <w:t>、评审细则</w:t>
      </w:r>
    </w:p>
    <w:p w14:paraId="2ADFC2A4" w14:textId="77777777" w:rsidR="00245E17" w:rsidRDefault="0052434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）初审</w:t>
      </w:r>
    </w:p>
    <w:tbl>
      <w:tblPr>
        <w:tblW w:w="89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35"/>
      </w:tblGrid>
      <w:tr w:rsidR="00245E17" w14:paraId="1BF47B32" w14:textId="77777777">
        <w:trPr>
          <w:tblCellSpacing w:w="15" w:type="dxa"/>
        </w:trPr>
        <w:tc>
          <w:tcPr>
            <w:tcW w:w="8875" w:type="dxa"/>
            <w:vAlign w:val="center"/>
          </w:tcPr>
          <w:tbl>
            <w:tblPr>
              <w:tblW w:w="88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
              <w:gridCol w:w="7780"/>
            </w:tblGrid>
            <w:tr w:rsidR="00245E17" w14:paraId="533F27B0" w14:textId="77777777">
              <w:tc>
                <w:tcPr>
                  <w:tcW w:w="1049" w:type="dxa"/>
                  <w:vAlign w:val="center"/>
                </w:tcPr>
                <w:p w14:paraId="653AD0F0" w14:textId="77777777" w:rsidR="00245E17" w:rsidRDefault="0052434C">
                  <w:pPr>
                    <w:adjustRightInd w:val="0"/>
                    <w:snapToGrid w:val="0"/>
                    <w:jc w:val="center"/>
                    <w:rPr>
                      <w:rFonts w:ascii="黑体" w:eastAsia="黑体" w:hAnsi="黑体" w:cs="黑体"/>
                      <w:sz w:val="28"/>
                      <w:szCs w:val="28"/>
                    </w:rPr>
                  </w:pPr>
                  <w:r>
                    <w:rPr>
                      <w:rFonts w:ascii="黑体" w:eastAsia="黑体" w:hAnsi="黑体" w:cs="黑体" w:hint="eastAsia"/>
                      <w:sz w:val="28"/>
                      <w:szCs w:val="28"/>
                    </w:rPr>
                    <w:t>序号</w:t>
                  </w:r>
                </w:p>
              </w:tc>
              <w:tc>
                <w:tcPr>
                  <w:tcW w:w="7780" w:type="dxa"/>
                  <w:vAlign w:val="center"/>
                </w:tcPr>
                <w:p w14:paraId="1C6E6C58" w14:textId="77777777" w:rsidR="00245E17" w:rsidRDefault="0052434C">
                  <w:pPr>
                    <w:adjustRightInd w:val="0"/>
                    <w:snapToGrid w:val="0"/>
                    <w:jc w:val="center"/>
                    <w:rPr>
                      <w:rFonts w:ascii="黑体" w:eastAsia="黑体" w:hAnsi="黑体" w:cs="黑体"/>
                      <w:sz w:val="28"/>
                      <w:szCs w:val="28"/>
                    </w:rPr>
                  </w:pPr>
                  <w:r>
                    <w:rPr>
                      <w:rFonts w:ascii="黑体" w:eastAsia="黑体" w:hAnsi="黑体" w:cs="黑体" w:hint="eastAsia"/>
                      <w:sz w:val="28"/>
                      <w:szCs w:val="28"/>
                    </w:rPr>
                    <w:t>资格审查内容</w:t>
                  </w:r>
                </w:p>
              </w:tc>
            </w:tr>
            <w:tr w:rsidR="00245E17" w14:paraId="74BA5F21" w14:textId="77777777">
              <w:tc>
                <w:tcPr>
                  <w:tcW w:w="1049" w:type="dxa"/>
                  <w:vAlign w:val="center"/>
                </w:tcPr>
                <w:p w14:paraId="38E25BDC"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7780" w:type="dxa"/>
                  <w:vAlign w:val="center"/>
                </w:tcPr>
                <w:p w14:paraId="5EEAE75A"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在中华人民共和国境内注册。本项目只接受保险分公司或中心支公司以上的保险机构投标。分公司或中心支公司投标的，需提供具有法人资格的总公司的营业执照副本复印件。</w:t>
                  </w:r>
                </w:p>
              </w:tc>
            </w:tr>
            <w:tr w:rsidR="00245E17" w14:paraId="27B12B3E" w14:textId="77777777">
              <w:tc>
                <w:tcPr>
                  <w:tcW w:w="1049" w:type="dxa"/>
                  <w:vAlign w:val="center"/>
                </w:tcPr>
                <w:p w14:paraId="2CE0635C"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7780" w:type="dxa"/>
                  <w:vAlign w:val="center"/>
                </w:tcPr>
                <w:p w14:paraId="37508954"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具有合格有效的包括</w:t>
                  </w:r>
                  <w:r>
                    <w:rPr>
                      <w:rFonts w:ascii="Times New Roman" w:eastAsia="仿宋_GB2312" w:hAnsi="Times New Roman" w:cs="Times New Roman"/>
                      <w:sz w:val="28"/>
                      <w:szCs w:val="28"/>
                    </w:rPr>
                    <w:t>“</w:t>
                  </w:r>
                  <w:r>
                    <w:rPr>
                      <w:rFonts w:ascii="Times New Roman" w:eastAsia="仿宋_GB2312" w:hAnsi="Times New Roman" w:cs="Times New Roman"/>
                      <w:sz w:val="28"/>
                      <w:szCs w:val="28"/>
                    </w:rPr>
                    <w:t>责任保险业务</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的《经营保险业务许可证》或中华人民共和国保险监督管理委员会出具的责任保险业务承保的批复。</w:t>
                  </w:r>
                </w:p>
              </w:tc>
            </w:tr>
            <w:tr w:rsidR="00245E17" w14:paraId="0F151302" w14:textId="77777777">
              <w:tc>
                <w:tcPr>
                  <w:tcW w:w="1049" w:type="dxa"/>
                  <w:vAlign w:val="center"/>
                </w:tcPr>
                <w:p w14:paraId="52D4A730"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7780" w:type="dxa"/>
                  <w:vAlign w:val="center"/>
                </w:tcPr>
                <w:p w14:paraId="431EC915"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投标报价确定且不高于项目预算</w:t>
                  </w:r>
                </w:p>
              </w:tc>
            </w:tr>
            <w:tr w:rsidR="00245E17" w14:paraId="5BD0D947" w14:textId="77777777">
              <w:tc>
                <w:tcPr>
                  <w:tcW w:w="1049" w:type="dxa"/>
                  <w:vAlign w:val="center"/>
                </w:tcPr>
                <w:p w14:paraId="3686E82D"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7780" w:type="dxa"/>
                  <w:vAlign w:val="center"/>
                </w:tcPr>
                <w:p w14:paraId="7085E5E1"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有盖章、签署要求的文件已按要求盖章、签署</w:t>
                  </w:r>
                </w:p>
              </w:tc>
            </w:tr>
            <w:tr w:rsidR="00245E17" w14:paraId="4D2069DC" w14:textId="77777777">
              <w:tc>
                <w:tcPr>
                  <w:tcW w:w="1049" w:type="dxa"/>
                  <w:vAlign w:val="center"/>
                </w:tcPr>
                <w:p w14:paraId="762C7266"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7780" w:type="dxa"/>
                  <w:vAlign w:val="center"/>
                </w:tcPr>
                <w:p w14:paraId="222DABB1"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未发现属无效投标的其他情形</w:t>
                  </w:r>
                </w:p>
              </w:tc>
            </w:tr>
          </w:tbl>
          <w:p w14:paraId="6F89FE7A" w14:textId="77777777" w:rsidR="00245E17" w:rsidRDefault="00245E17">
            <w:pPr>
              <w:rPr>
                <w:rFonts w:ascii="仿宋" w:eastAsia="仿宋" w:hAnsi="仿宋"/>
                <w:sz w:val="32"/>
                <w:szCs w:val="32"/>
              </w:rPr>
            </w:pPr>
          </w:p>
        </w:tc>
      </w:tr>
    </w:tbl>
    <w:p w14:paraId="0D26DDCC" w14:textId="77777777" w:rsidR="00245E17" w:rsidRDefault="0052434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）服务评分（</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分）</w:t>
      </w:r>
    </w:p>
    <w:tbl>
      <w:tblPr>
        <w:tblW w:w="89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35"/>
      </w:tblGrid>
      <w:tr w:rsidR="00245E17" w14:paraId="6B89E90F" w14:textId="77777777">
        <w:trPr>
          <w:tblCellSpacing w:w="15" w:type="dxa"/>
        </w:trPr>
        <w:tc>
          <w:tcPr>
            <w:tcW w:w="8875" w:type="dxa"/>
            <w:vAlign w:val="center"/>
          </w:tcPr>
          <w:tbl>
            <w:tblPr>
              <w:tblW w:w="8829"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97"/>
              <w:gridCol w:w="3762"/>
              <w:gridCol w:w="4170"/>
            </w:tblGrid>
            <w:tr w:rsidR="00245E17" w14:paraId="4C13B891" w14:textId="77777777">
              <w:tc>
                <w:tcPr>
                  <w:tcW w:w="897" w:type="dxa"/>
                  <w:tcBorders>
                    <w:top w:val="outset" w:sz="6" w:space="0" w:color="auto"/>
                    <w:left w:val="outset" w:sz="6" w:space="0" w:color="auto"/>
                    <w:bottom w:val="outset" w:sz="6" w:space="0" w:color="auto"/>
                    <w:right w:val="outset" w:sz="6" w:space="0" w:color="auto"/>
                  </w:tcBorders>
                  <w:vAlign w:val="center"/>
                </w:tcPr>
                <w:p w14:paraId="27178A2B"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分值</w:t>
                  </w:r>
                </w:p>
              </w:tc>
              <w:tc>
                <w:tcPr>
                  <w:tcW w:w="3762" w:type="dxa"/>
                  <w:tcBorders>
                    <w:top w:val="outset" w:sz="6" w:space="0" w:color="auto"/>
                    <w:left w:val="outset" w:sz="6" w:space="0" w:color="auto"/>
                    <w:bottom w:val="outset" w:sz="6" w:space="0" w:color="auto"/>
                    <w:right w:val="outset" w:sz="6" w:space="0" w:color="auto"/>
                  </w:tcBorders>
                  <w:vAlign w:val="center"/>
                </w:tcPr>
                <w:p w14:paraId="4D1C49CB"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评审内容</w:t>
                  </w:r>
                </w:p>
              </w:tc>
              <w:tc>
                <w:tcPr>
                  <w:tcW w:w="4170" w:type="dxa"/>
                  <w:tcBorders>
                    <w:top w:val="outset" w:sz="6" w:space="0" w:color="auto"/>
                    <w:left w:val="outset" w:sz="6" w:space="0" w:color="auto"/>
                    <w:bottom w:val="outset" w:sz="6" w:space="0" w:color="auto"/>
                    <w:right w:val="outset" w:sz="6" w:space="0" w:color="auto"/>
                  </w:tcBorders>
                  <w:vAlign w:val="center"/>
                </w:tcPr>
                <w:p w14:paraId="5147D719"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评分细则</w:t>
                  </w:r>
                </w:p>
              </w:tc>
            </w:tr>
            <w:tr w:rsidR="00245E17" w14:paraId="58424F3F" w14:textId="77777777">
              <w:tc>
                <w:tcPr>
                  <w:tcW w:w="897" w:type="dxa"/>
                  <w:tcBorders>
                    <w:top w:val="outset" w:sz="6" w:space="0" w:color="auto"/>
                    <w:left w:val="outset" w:sz="6" w:space="0" w:color="auto"/>
                    <w:bottom w:val="outset" w:sz="6" w:space="0" w:color="auto"/>
                    <w:right w:val="outset" w:sz="6" w:space="0" w:color="auto"/>
                  </w:tcBorders>
                  <w:vAlign w:val="center"/>
                </w:tcPr>
                <w:p w14:paraId="2B9C6E64"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3762" w:type="dxa"/>
                  <w:tcBorders>
                    <w:top w:val="outset" w:sz="6" w:space="0" w:color="auto"/>
                    <w:left w:val="outset" w:sz="6" w:space="0" w:color="auto"/>
                    <w:bottom w:val="outset" w:sz="6" w:space="0" w:color="auto"/>
                    <w:right w:val="outset" w:sz="6" w:space="0" w:color="auto"/>
                  </w:tcBorders>
                  <w:vAlign w:val="center"/>
                </w:tcPr>
                <w:p w14:paraId="2B43B265" w14:textId="77777777" w:rsidR="00245E17" w:rsidRDefault="0052434C">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服务方案响应情况</w:t>
                  </w:r>
                </w:p>
              </w:tc>
              <w:tc>
                <w:tcPr>
                  <w:tcW w:w="4170" w:type="dxa"/>
                  <w:tcBorders>
                    <w:top w:val="outset" w:sz="6" w:space="0" w:color="auto"/>
                    <w:left w:val="outset" w:sz="6" w:space="0" w:color="auto"/>
                    <w:bottom w:val="outset" w:sz="6" w:space="0" w:color="auto"/>
                    <w:right w:val="outset" w:sz="6" w:space="0" w:color="auto"/>
                  </w:tcBorders>
                  <w:vAlign w:val="center"/>
                </w:tcPr>
                <w:p w14:paraId="5F1F8BC8"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根据供应商的响应情况进行比较。对比优得</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分；对比次之得</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分；对比一般得</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r>
            <w:tr w:rsidR="00245E17" w14:paraId="6DC9CA63" w14:textId="77777777">
              <w:tc>
                <w:tcPr>
                  <w:tcW w:w="897" w:type="dxa"/>
                  <w:tcBorders>
                    <w:top w:val="outset" w:sz="6" w:space="0" w:color="auto"/>
                    <w:left w:val="outset" w:sz="6" w:space="0" w:color="auto"/>
                    <w:bottom w:val="outset" w:sz="6" w:space="0" w:color="auto"/>
                    <w:right w:val="outset" w:sz="6" w:space="0" w:color="auto"/>
                  </w:tcBorders>
                  <w:vAlign w:val="center"/>
                </w:tcPr>
                <w:p w14:paraId="02E70AB1"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3762" w:type="dxa"/>
                  <w:tcBorders>
                    <w:top w:val="outset" w:sz="6" w:space="0" w:color="auto"/>
                    <w:left w:val="outset" w:sz="6" w:space="0" w:color="auto"/>
                    <w:bottom w:val="outset" w:sz="6" w:space="0" w:color="auto"/>
                    <w:right w:val="outset" w:sz="6" w:space="0" w:color="auto"/>
                  </w:tcBorders>
                  <w:vAlign w:val="center"/>
                </w:tcPr>
                <w:p w14:paraId="7491E3DE"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理赔服务整体运作流程的可行性与保障性</w:t>
                  </w:r>
                </w:p>
              </w:tc>
              <w:tc>
                <w:tcPr>
                  <w:tcW w:w="4170" w:type="dxa"/>
                  <w:tcBorders>
                    <w:top w:val="outset" w:sz="6" w:space="0" w:color="auto"/>
                    <w:left w:val="outset" w:sz="6" w:space="0" w:color="auto"/>
                    <w:bottom w:val="outset" w:sz="6" w:space="0" w:color="auto"/>
                    <w:right w:val="outset" w:sz="6" w:space="0" w:color="auto"/>
                  </w:tcBorders>
                  <w:vAlign w:val="center"/>
                </w:tcPr>
                <w:p w14:paraId="1BDFA501"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运作流程顺畅、保障措施科学合理、切实可行，得</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分；对比次之得</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分；对比一般得</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r>
            <w:tr w:rsidR="00245E17" w14:paraId="394D3CF5" w14:textId="77777777">
              <w:tc>
                <w:tcPr>
                  <w:tcW w:w="897" w:type="dxa"/>
                  <w:tcBorders>
                    <w:top w:val="outset" w:sz="6" w:space="0" w:color="auto"/>
                    <w:left w:val="outset" w:sz="6" w:space="0" w:color="auto"/>
                    <w:bottom w:val="outset" w:sz="6" w:space="0" w:color="auto"/>
                    <w:right w:val="outset" w:sz="6" w:space="0" w:color="auto"/>
                  </w:tcBorders>
                  <w:vAlign w:val="center"/>
                </w:tcPr>
                <w:p w14:paraId="71662C8D"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3762" w:type="dxa"/>
                  <w:tcBorders>
                    <w:top w:val="outset" w:sz="6" w:space="0" w:color="auto"/>
                    <w:left w:val="outset" w:sz="6" w:space="0" w:color="auto"/>
                    <w:bottom w:val="outset" w:sz="6" w:space="0" w:color="auto"/>
                    <w:right w:val="outset" w:sz="6" w:space="0" w:color="auto"/>
                  </w:tcBorders>
                  <w:vAlign w:val="center"/>
                </w:tcPr>
                <w:p w14:paraId="77C80F56"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本项目服务人员的配备（提供资质证明材料及上述人员在投标人服务的外部证明材料扫描件，如投标截止日之前六个月以内的代缴个税税单或参加社会保险的《投保单》或《社会保险参保人员证明》等）</w:t>
                  </w:r>
                </w:p>
              </w:tc>
              <w:tc>
                <w:tcPr>
                  <w:tcW w:w="4170" w:type="dxa"/>
                  <w:tcBorders>
                    <w:top w:val="outset" w:sz="6" w:space="0" w:color="auto"/>
                    <w:left w:val="outset" w:sz="6" w:space="0" w:color="auto"/>
                    <w:bottom w:val="outset" w:sz="6" w:space="0" w:color="auto"/>
                    <w:right w:val="outset" w:sz="6" w:space="0" w:color="auto"/>
                  </w:tcBorders>
                  <w:vAlign w:val="center"/>
                </w:tcPr>
                <w:p w14:paraId="510148A8"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根据服务人员的资质、经验、学历等情况进行比较，责任明确并承诺指派专人上门负责跟踪服务的，对比优得</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分；对比次之得</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分；对比一般得</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r>
            <w:tr w:rsidR="00245E17" w14:paraId="07B17522" w14:textId="77777777">
              <w:tc>
                <w:tcPr>
                  <w:tcW w:w="897" w:type="dxa"/>
                  <w:tcBorders>
                    <w:top w:val="outset" w:sz="6" w:space="0" w:color="auto"/>
                    <w:left w:val="outset" w:sz="6" w:space="0" w:color="auto"/>
                    <w:bottom w:val="outset" w:sz="6" w:space="0" w:color="auto"/>
                    <w:right w:val="outset" w:sz="6" w:space="0" w:color="auto"/>
                  </w:tcBorders>
                  <w:vAlign w:val="center"/>
                </w:tcPr>
                <w:p w14:paraId="63285A5E"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3762" w:type="dxa"/>
                  <w:tcBorders>
                    <w:top w:val="outset" w:sz="6" w:space="0" w:color="auto"/>
                    <w:left w:val="outset" w:sz="6" w:space="0" w:color="auto"/>
                    <w:bottom w:val="outset" w:sz="6" w:space="0" w:color="auto"/>
                    <w:right w:val="outset" w:sz="6" w:space="0" w:color="auto"/>
                  </w:tcBorders>
                  <w:vAlign w:val="center"/>
                </w:tcPr>
                <w:p w14:paraId="1E1FC069"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提供优于采购需求的服务或合理化建议</w:t>
                  </w:r>
                </w:p>
              </w:tc>
              <w:tc>
                <w:tcPr>
                  <w:tcW w:w="4170" w:type="dxa"/>
                  <w:tcBorders>
                    <w:top w:val="outset" w:sz="6" w:space="0" w:color="auto"/>
                    <w:left w:val="outset" w:sz="6" w:space="0" w:color="auto"/>
                    <w:bottom w:val="outset" w:sz="6" w:space="0" w:color="auto"/>
                    <w:right w:val="outset" w:sz="6" w:space="0" w:color="auto"/>
                  </w:tcBorders>
                  <w:vAlign w:val="center"/>
                </w:tcPr>
                <w:p w14:paraId="43254413"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根据投标人的响应情况进行比较。对比优得</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分；对比次之得</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分；对比一般得</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r>
          </w:tbl>
          <w:p w14:paraId="3DE73FDD" w14:textId="77777777" w:rsidR="00245E17" w:rsidRDefault="00245E17">
            <w:pPr>
              <w:rPr>
                <w:rFonts w:ascii="仿宋" w:eastAsia="仿宋" w:hAnsi="仿宋"/>
                <w:sz w:val="32"/>
                <w:szCs w:val="32"/>
              </w:rPr>
            </w:pPr>
          </w:p>
        </w:tc>
      </w:tr>
    </w:tbl>
    <w:p w14:paraId="24BED43F" w14:textId="77777777" w:rsidR="00245E17" w:rsidRDefault="0052434C">
      <w:pPr>
        <w:ind w:firstLineChars="262" w:firstLine="83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）商务评分（</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w:t>
      </w:r>
    </w:p>
    <w:tbl>
      <w:tblPr>
        <w:tblW w:w="89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35"/>
      </w:tblGrid>
      <w:tr w:rsidR="00323D15" w14:paraId="6BDECDEC" w14:textId="77777777">
        <w:trPr>
          <w:tblCellSpacing w:w="15" w:type="dxa"/>
        </w:trPr>
        <w:tc>
          <w:tcPr>
            <w:tcW w:w="8875" w:type="dxa"/>
            <w:vAlign w:val="center"/>
          </w:tcPr>
          <w:p w14:paraId="09AA7889" w14:textId="77777777" w:rsidR="00323D15" w:rsidRDefault="00323D15">
            <w:pPr>
              <w:adjustRightInd w:val="0"/>
              <w:snapToGrid w:val="0"/>
              <w:jc w:val="center"/>
              <w:rPr>
                <w:rFonts w:ascii="Times New Roman" w:eastAsia="黑体" w:hAnsi="Times New Roman" w:cs="Times New Roman"/>
                <w:sz w:val="28"/>
                <w:szCs w:val="28"/>
              </w:rPr>
            </w:pPr>
          </w:p>
        </w:tc>
      </w:tr>
      <w:tr w:rsidR="00245E17" w14:paraId="4AF89B84" w14:textId="77777777">
        <w:trPr>
          <w:tblCellSpacing w:w="15" w:type="dxa"/>
        </w:trPr>
        <w:tc>
          <w:tcPr>
            <w:tcW w:w="8875" w:type="dxa"/>
            <w:vAlign w:val="center"/>
          </w:tcPr>
          <w:tbl>
            <w:tblPr>
              <w:tblW w:w="8820"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08"/>
              <w:gridCol w:w="3911"/>
              <w:gridCol w:w="4001"/>
            </w:tblGrid>
            <w:tr w:rsidR="00245E17" w14:paraId="52F3EE3A" w14:textId="77777777">
              <w:trPr>
                <w:trHeight w:val="428"/>
              </w:trPr>
              <w:tc>
                <w:tcPr>
                  <w:tcW w:w="908" w:type="dxa"/>
                  <w:tcBorders>
                    <w:top w:val="outset" w:sz="6" w:space="0" w:color="auto"/>
                    <w:left w:val="outset" w:sz="6" w:space="0" w:color="auto"/>
                    <w:bottom w:val="outset" w:sz="6" w:space="0" w:color="auto"/>
                    <w:right w:val="outset" w:sz="6" w:space="0" w:color="auto"/>
                  </w:tcBorders>
                  <w:vAlign w:val="center"/>
                </w:tcPr>
                <w:p w14:paraId="47E128A9"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分值</w:t>
                  </w:r>
                </w:p>
              </w:tc>
              <w:tc>
                <w:tcPr>
                  <w:tcW w:w="3911" w:type="dxa"/>
                  <w:tcBorders>
                    <w:top w:val="outset" w:sz="6" w:space="0" w:color="auto"/>
                    <w:left w:val="outset" w:sz="6" w:space="0" w:color="auto"/>
                    <w:bottom w:val="outset" w:sz="6" w:space="0" w:color="auto"/>
                    <w:right w:val="outset" w:sz="6" w:space="0" w:color="auto"/>
                  </w:tcBorders>
                  <w:vAlign w:val="center"/>
                </w:tcPr>
                <w:p w14:paraId="23E1C8F1"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评审内容</w:t>
                  </w:r>
                </w:p>
              </w:tc>
              <w:tc>
                <w:tcPr>
                  <w:tcW w:w="4001" w:type="dxa"/>
                  <w:tcBorders>
                    <w:top w:val="outset" w:sz="6" w:space="0" w:color="auto"/>
                    <w:left w:val="outset" w:sz="6" w:space="0" w:color="auto"/>
                    <w:bottom w:val="outset" w:sz="6" w:space="0" w:color="auto"/>
                    <w:right w:val="outset" w:sz="6" w:space="0" w:color="auto"/>
                  </w:tcBorders>
                  <w:vAlign w:val="center"/>
                </w:tcPr>
                <w:p w14:paraId="27E68E75" w14:textId="77777777" w:rsidR="00245E17" w:rsidRDefault="0052434C">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t>评分细则</w:t>
                  </w:r>
                </w:p>
              </w:tc>
            </w:tr>
            <w:tr w:rsidR="00245E17" w14:paraId="7AA1A38A" w14:textId="77777777">
              <w:trPr>
                <w:trHeight w:val="2075"/>
              </w:trPr>
              <w:tc>
                <w:tcPr>
                  <w:tcW w:w="908" w:type="dxa"/>
                  <w:tcBorders>
                    <w:top w:val="outset" w:sz="6" w:space="0" w:color="auto"/>
                    <w:left w:val="outset" w:sz="6" w:space="0" w:color="auto"/>
                    <w:bottom w:val="outset" w:sz="6" w:space="0" w:color="auto"/>
                    <w:right w:val="outset" w:sz="6" w:space="0" w:color="auto"/>
                  </w:tcBorders>
                  <w:vAlign w:val="center"/>
                </w:tcPr>
                <w:p w14:paraId="73070B19" w14:textId="2826FE15" w:rsidR="00245E17" w:rsidRDefault="00A0508B">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3911" w:type="dxa"/>
                  <w:tcBorders>
                    <w:top w:val="outset" w:sz="6" w:space="0" w:color="auto"/>
                    <w:left w:val="outset" w:sz="6" w:space="0" w:color="auto"/>
                    <w:bottom w:val="outset" w:sz="6" w:space="0" w:color="auto"/>
                    <w:right w:val="outset" w:sz="6" w:space="0" w:color="auto"/>
                  </w:tcBorders>
                  <w:vAlign w:val="center"/>
                </w:tcPr>
                <w:p w14:paraId="7041AABA" w14:textId="77777777" w:rsidR="00245E17" w:rsidRDefault="0052434C">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同类项目业绩：依据</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年以来同类项目业绩情况进行评审（以合同签订时间为准；分公司或中心支公司的保险机构投标的，总公司业绩不可纳入评审）</w:t>
                  </w:r>
                </w:p>
              </w:tc>
              <w:tc>
                <w:tcPr>
                  <w:tcW w:w="4001" w:type="dxa"/>
                  <w:tcBorders>
                    <w:top w:val="outset" w:sz="6" w:space="0" w:color="auto"/>
                    <w:left w:val="outset" w:sz="6" w:space="0" w:color="auto"/>
                    <w:bottom w:val="outset" w:sz="6" w:space="0" w:color="auto"/>
                    <w:right w:val="outset" w:sz="6" w:space="0" w:color="auto"/>
                  </w:tcBorders>
                  <w:vAlign w:val="center"/>
                </w:tcPr>
                <w:p w14:paraId="223F8A19" w14:textId="1D51534B" w:rsidR="00245E17" w:rsidRDefault="0052434C" w:rsidP="00A0508B">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每提供一个同类项目经验得</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分，最高得</w:t>
                  </w:r>
                  <w:r w:rsidR="00A0508B">
                    <w:rPr>
                      <w:rFonts w:ascii="Times New Roman" w:eastAsia="仿宋_GB2312" w:hAnsi="Times New Roman" w:cs="Times New Roman"/>
                      <w:sz w:val="28"/>
                      <w:szCs w:val="28"/>
                    </w:rPr>
                    <w:t>5</w:t>
                  </w:r>
                  <w:r>
                    <w:rPr>
                      <w:rFonts w:ascii="Times New Roman" w:eastAsia="仿宋_GB2312" w:hAnsi="Times New Roman" w:cs="Times New Roman"/>
                      <w:sz w:val="28"/>
                      <w:szCs w:val="28"/>
                    </w:rPr>
                    <w:t>分。请投标人严格按照要求提交相关证明材料，否则有可能影响评审结果。</w:t>
                  </w:r>
                </w:p>
              </w:tc>
            </w:tr>
            <w:tr w:rsidR="00245E17" w14:paraId="0C993607" w14:textId="77777777">
              <w:trPr>
                <w:trHeight w:val="2486"/>
              </w:trPr>
              <w:tc>
                <w:tcPr>
                  <w:tcW w:w="908" w:type="dxa"/>
                  <w:tcBorders>
                    <w:top w:val="outset" w:sz="6" w:space="0" w:color="auto"/>
                    <w:left w:val="outset" w:sz="6" w:space="0" w:color="auto"/>
                    <w:bottom w:val="outset" w:sz="6" w:space="0" w:color="auto"/>
                    <w:right w:val="outset" w:sz="6" w:space="0" w:color="auto"/>
                  </w:tcBorders>
                  <w:vAlign w:val="center"/>
                </w:tcPr>
                <w:p w14:paraId="260BE9C2" w14:textId="77777777" w:rsidR="00245E17" w:rsidRDefault="0052434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3911" w:type="dxa"/>
                  <w:tcBorders>
                    <w:top w:val="outset" w:sz="6" w:space="0" w:color="auto"/>
                    <w:left w:val="outset" w:sz="6" w:space="0" w:color="auto"/>
                    <w:bottom w:val="outset" w:sz="6" w:space="0" w:color="auto"/>
                    <w:right w:val="outset" w:sz="6" w:space="0" w:color="auto"/>
                  </w:tcBorders>
                  <w:vAlign w:val="center"/>
                </w:tcPr>
                <w:p w14:paraId="32137E6F" w14:textId="77777777" w:rsidR="00245E17" w:rsidRDefault="00E833AF">
                  <w:pPr>
                    <w:adjustRightInd w:val="0"/>
                    <w:snapToGrid w:val="0"/>
                    <w:jc w:val="left"/>
                    <w:rPr>
                      <w:rFonts w:ascii="Times New Roman" w:eastAsia="仿宋_GB2312" w:hAnsi="Times New Roman" w:cs="Times New Roman"/>
                      <w:sz w:val="28"/>
                      <w:szCs w:val="28"/>
                    </w:rPr>
                  </w:pPr>
                  <w:r w:rsidRPr="0036464C">
                    <w:rPr>
                      <w:rFonts w:ascii="Times New Roman" w:eastAsia="仿宋_GB2312" w:hAnsi="Times New Roman" w:cs="Times New Roman" w:hint="eastAsia"/>
                      <w:sz w:val="32"/>
                      <w:szCs w:val="32"/>
                    </w:rPr>
                    <w:t>未决赔款准备金</w:t>
                  </w:r>
                </w:p>
              </w:tc>
              <w:tc>
                <w:tcPr>
                  <w:tcW w:w="4001" w:type="dxa"/>
                  <w:tcBorders>
                    <w:top w:val="outset" w:sz="6" w:space="0" w:color="auto"/>
                    <w:left w:val="outset" w:sz="6" w:space="0" w:color="auto"/>
                    <w:bottom w:val="outset" w:sz="6" w:space="0" w:color="auto"/>
                    <w:right w:val="outset" w:sz="6" w:space="0" w:color="auto"/>
                  </w:tcBorders>
                  <w:vAlign w:val="center"/>
                </w:tcPr>
                <w:p w14:paraId="30E642B0" w14:textId="77777777" w:rsidR="00245E17" w:rsidRDefault="00E833AF">
                  <w:pPr>
                    <w:adjustRightInd w:val="0"/>
                    <w:snapToGrid w:val="0"/>
                    <w:jc w:val="left"/>
                    <w:rPr>
                      <w:rFonts w:ascii="Times New Roman" w:eastAsia="仿宋_GB2312" w:hAnsi="Times New Roman" w:cs="Times New Roman"/>
                      <w:sz w:val="28"/>
                      <w:szCs w:val="28"/>
                    </w:rPr>
                  </w:pPr>
                  <w:r w:rsidRPr="00E833AF">
                    <w:rPr>
                      <w:rFonts w:ascii="Times New Roman" w:eastAsia="仿宋_GB2312" w:hAnsi="Times New Roman" w:cs="Times New Roman"/>
                      <w:sz w:val="28"/>
                      <w:szCs w:val="28"/>
                    </w:rPr>
                    <w:t>根据投标人</w:t>
                  </w:r>
                  <w:commentRangeStart w:id="1"/>
                  <w:r w:rsidRPr="00E833AF">
                    <w:rPr>
                      <w:rFonts w:ascii="Times New Roman" w:eastAsia="仿宋_GB2312" w:hAnsi="Times New Roman" w:cs="Times New Roman"/>
                      <w:sz w:val="28"/>
                      <w:szCs w:val="28"/>
                    </w:rPr>
                    <w:t>2018</w:t>
                  </w:r>
                  <w:r w:rsidRPr="00E833AF">
                    <w:rPr>
                      <w:rFonts w:ascii="Times New Roman" w:eastAsia="仿宋_GB2312" w:hAnsi="Times New Roman" w:cs="Times New Roman"/>
                      <w:sz w:val="28"/>
                      <w:szCs w:val="28"/>
                    </w:rPr>
                    <w:t>年</w:t>
                  </w:r>
                  <w:commentRangeEnd w:id="1"/>
                  <w:r w:rsidRPr="00E833AF">
                    <w:rPr>
                      <w:rFonts w:ascii="Times New Roman" w:eastAsia="仿宋_GB2312" w:hAnsi="Times New Roman" w:cs="Times New Roman"/>
                      <w:sz w:val="28"/>
                      <w:szCs w:val="28"/>
                    </w:rPr>
                    <w:commentReference w:id="1"/>
                  </w:r>
                  <w:r w:rsidRPr="00E833AF">
                    <w:rPr>
                      <w:rFonts w:ascii="Times New Roman" w:eastAsia="仿宋_GB2312" w:hAnsi="Times New Roman" w:cs="Times New Roman" w:hint="eastAsia"/>
                      <w:sz w:val="28"/>
                      <w:szCs w:val="28"/>
                    </w:rPr>
                    <w:t>未决赔款准备金</w:t>
                  </w:r>
                  <w:r w:rsidRPr="00E833AF">
                    <w:rPr>
                      <w:rFonts w:ascii="Times New Roman" w:eastAsia="仿宋_GB2312" w:hAnsi="Times New Roman" w:cs="Times New Roman"/>
                      <w:sz w:val="28"/>
                      <w:szCs w:val="28"/>
                    </w:rPr>
                    <w:t>进行比较，对比优得</w:t>
                  </w:r>
                  <w:r w:rsidRPr="00E833AF">
                    <w:rPr>
                      <w:rFonts w:ascii="Times New Roman" w:eastAsia="仿宋_GB2312" w:hAnsi="Times New Roman" w:cs="Times New Roman"/>
                      <w:sz w:val="28"/>
                      <w:szCs w:val="28"/>
                    </w:rPr>
                    <w:t>10</w:t>
                  </w:r>
                  <w:r w:rsidRPr="00E833AF">
                    <w:rPr>
                      <w:rFonts w:ascii="Times New Roman" w:eastAsia="仿宋_GB2312" w:hAnsi="Times New Roman" w:cs="Times New Roman"/>
                      <w:sz w:val="28"/>
                      <w:szCs w:val="28"/>
                    </w:rPr>
                    <w:t>分，对比次之得</w:t>
                  </w:r>
                  <w:r w:rsidRPr="00E833AF">
                    <w:rPr>
                      <w:rFonts w:ascii="Times New Roman" w:eastAsia="仿宋_GB2312" w:hAnsi="Times New Roman" w:cs="Times New Roman"/>
                      <w:sz w:val="28"/>
                      <w:szCs w:val="28"/>
                    </w:rPr>
                    <w:t>8</w:t>
                  </w:r>
                  <w:r w:rsidRPr="00E833AF">
                    <w:rPr>
                      <w:rFonts w:ascii="Times New Roman" w:eastAsia="仿宋_GB2312" w:hAnsi="Times New Roman" w:cs="Times New Roman"/>
                      <w:sz w:val="28"/>
                      <w:szCs w:val="28"/>
                    </w:rPr>
                    <w:t>分；对比一般得</w:t>
                  </w:r>
                  <w:r w:rsidRPr="00E833AF">
                    <w:rPr>
                      <w:rFonts w:ascii="Times New Roman" w:eastAsia="仿宋_GB2312" w:hAnsi="Times New Roman" w:cs="Times New Roman"/>
                      <w:sz w:val="28"/>
                      <w:szCs w:val="28"/>
                    </w:rPr>
                    <w:t>5</w:t>
                  </w:r>
                  <w:r w:rsidRPr="00E833AF">
                    <w:rPr>
                      <w:rFonts w:ascii="Times New Roman" w:eastAsia="仿宋_GB2312" w:hAnsi="Times New Roman" w:cs="Times New Roman"/>
                      <w:sz w:val="28"/>
                      <w:szCs w:val="28"/>
                    </w:rPr>
                    <w:t>分。注：需提供具有审计资质的第三方机构出具的偿付能力报告，否则得</w:t>
                  </w:r>
                  <w:r w:rsidRPr="00E833AF">
                    <w:rPr>
                      <w:rFonts w:ascii="Times New Roman" w:eastAsia="仿宋_GB2312" w:hAnsi="Times New Roman" w:cs="Times New Roman"/>
                      <w:sz w:val="28"/>
                      <w:szCs w:val="28"/>
                    </w:rPr>
                    <w:t>0</w:t>
                  </w:r>
                  <w:r w:rsidRPr="00E833AF">
                    <w:rPr>
                      <w:rFonts w:ascii="Times New Roman" w:eastAsia="仿宋_GB2312" w:hAnsi="Times New Roman" w:cs="Times New Roman"/>
                      <w:sz w:val="28"/>
                      <w:szCs w:val="28"/>
                    </w:rPr>
                    <w:t>分。</w:t>
                  </w:r>
                </w:p>
              </w:tc>
            </w:tr>
            <w:tr w:rsidR="00323D15" w14:paraId="23F53FF1" w14:textId="77777777">
              <w:trPr>
                <w:trHeight w:val="1617"/>
              </w:trPr>
              <w:tc>
                <w:tcPr>
                  <w:tcW w:w="908" w:type="dxa"/>
                  <w:tcBorders>
                    <w:top w:val="outset" w:sz="6" w:space="0" w:color="auto"/>
                    <w:left w:val="outset" w:sz="6" w:space="0" w:color="auto"/>
                    <w:bottom w:val="outset" w:sz="6" w:space="0" w:color="auto"/>
                    <w:right w:val="outset" w:sz="6" w:space="0" w:color="auto"/>
                  </w:tcBorders>
                  <w:vAlign w:val="center"/>
                </w:tcPr>
                <w:p w14:paraId="5F47CCD2" w14:textId="0BEBC398" w:rsidR="00323D15" w:rsidRDefault="00323D15" w:rsidP="00323D15">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3911" w:type="dxa"/>
                  <w:tcBorders>
                    <w:top w:val="outset" w:sz="6" w:space="0" w:color="auto"/>
                    <w:left w:val="outset" w:sz="6" w:space="0" w:color="auto"/>
                    <w:bottom w:val="outset" w:sz="6" w:space="0" w:color="auto"/>
                    <w:right w:val="outset" w:sz="6" w:space="0" w:color="auto"/>
                  </w:tcBorders>
                  <w:vAlign w:val="center"/>
                </w:tcPr>
                <w:p w14:paraId="60898C2C" w14:textId="14D9A4CF" w:rsidR="00323D15" w:rsidRDefault="00323D15" w:rsidP="00323D15">
                  <w:pPr>
                    <w:adjustRightInd w:val="0"/>
                    <w:snapToGrid w:val="0"/>
                    <w:jc w:val="left"/>
                    <w:rPr>
                      <w:rFonts w:ascii="Times New Roman" w:eastAsia="仿宋_GB2312" w:hAnsi="Times New Roman" w:cs="Times New Roman"/>
                      <w:sz w:val="28"/>
                      <w:szCs w:val="28"/>
                    </w:rPr>
                  </w:pPr>
                  <w:r w:rsidRPr="00121687">
                    <w:rPr>
                      <w:rFonts w:ascii="Times New Roman" w:eastAsia="仿宋_GB2312" w:hAnsi="Times New Roman" w:cs="Times New Roman" w:hint="eastAsia"/>
                      <w:sz w:val="32"/>
                      <w:szCs w:val="32"/>
                    </w:rPr>
                    <w:t>在广州市辖区</w:t>
                  </w:r>
                  <w:r>
                    <w:rPr>
                      <w:rFonts w:ascii="Times New Roman" w:eastAsia="仿宋_GB2312" w:hAnsi="Times New Roman" w:cs="Times New Roman"/>
                      <w:sz w:val="32"/>
                      <w:szCs w:val="32"/>
                    </w:rPr>
                    <w:t>的理</w:t>
                  </w:r>
                  <w:r>
                    <w:rPr>
                      <w:rFonts w:ascii="Times New Roman" w:eastAsia="仿宋_GB2312" w:hAnsi="Times New Roman" w:cs="Times New Roman" w:hint="eastAsia"/>
                      <w:sz w:val="32"/>
                      <w:szCs w:val="32"/>
                    </w:rPr>
                    <w:t>赔</w:t>
                  </w:r>
                  <w:r>
                    <w:rPr>
                      <w:rFonts w:ascii="Times New Roman" w:eastAsia="仿宋_GB2312" w:hAnsi="Times New Roman" w:cs="Times New Roman"/>
                      <w:sz w:val="32"/>
                      <w:szCs w:val="32"/>
                    </w:rPr>
                    <w:t>网点</w:t>
                  </w:r>
                  <w:r>
                    <w:rPr>
                      <w:rFonts w:ascii="Times New Roman" w:eastAsia="仿宋_GB2312" w:hAnsi="Times New Roman" w:cs="Times New Roman" w:hint="eastAsia"/>
                      <w:sz w:val="32"/>
                      <w:szCs w:val="32"/>
                    </w:rPr>
                    <w:t>情况</w:t>
                  </w:r>
                </w:p>
              </w:tc>
              <w:tc>
                <w:tcPr>
                  <w:tcW w:w="4001" w:type="dxa"/>
                  <w:tcBorders>
                    <w:top w:val="outset" w:sz="6" w:space="0" w:color="auto"/>
                    <w:left w:val="outset" w:sz="6" w:space="0" w:color="auto"/>
                    <w:bottom w:val="outset" w:sz="6" w:space="0" w:color="auto"/>
                    <w:right w:val="outset" w:sz="6" w:space="0" w:color="auto"/>
                  </w:tcBorders>
                  <w:vAlign w:val="center"/>
                </w:tcPr>
                <w:p w14:paraId="17D365CE" w14:textId="7C94452E" w:rsidR="00323D15" w:rsidRDefault="00323D15" w:rsidP="00323D15">
                  <w:pPr>
                    <w:adjustRightInd w:val="0"/>
                    <w:snapToGrid w:val="0"/>
                    <w:jc w:val="left"/>
                    <w:rPr>
                      <w:rFonts w:ascii="Times New Roman" w:eastAsia="仿宋_GB2312" w:hAnsi="Times New Roman" w:cs="Times New Roman"/>
                      <w:sz w:val="28"/>
                      <w:szCs w:val="28"/>
                    </w:rPr>
                  </w:pPr>
                  <w:r w:rsidRPr="00EA2B69">
                    <w:rPr>
                      <w:rFonts w:ascii="仿宋" w:eastAsia="仿宋" w:hAnsi="仿宋" w:cs="宋体"/>
                      <w:sz w:val="32"/>
                      <w:szCs w:val="32"/>
                    </w:rPr>
                    <w:t>根据投标人</w:t>
                  </w:r>
                  <w:r w:rsidRPr="00121687">
                    <w:rPr>
                      <w:rFonts w:ascii="Times New Roman" w:eastAsia="仿宋_GB2312" w:hAnsi="Times New Roman" w:cs="Times New Roman" w:hint="eastAsia"/>
                      <w:sz w:val="32"/>
                      <w:szCs w:val="32"/>
                    </w:rPr>
                    <w:t>在广州市辖区</w:t>
                  </w:r>
                  <w:r>
                    <w:rPr>
                      <w:rFonts w:ascii="Times New Roman" w:eastAsia="仿宋_GB2312" w:hAnsi="Times New Roman" w:cs="Times New Roman"/>
                      <w:sz w:val="32"/>
                      <w:szCs w:val="32"/>
                    </w:rPr>
                    <w:t>的理</w:t>
                  </w:r>
                  <w:r>
                    <w:rPr>
                      <w:rFonts w:ascii="Times New Roman" w:eastAsia="仿宋_GB2312" w:hAnsi="Times New Roman" w:cs="Times New Roman" w:hint="eastAsia"/>
                      <w:sz w:val="32"/>
                      <w:szCs w:val="32"/>
                    </w:rPr>
                    <w:t>赔</w:t>
                  </w:r>
                  <w:r>
                    <w:rPr>
                      <w:rFonts w:ascii="Times New Roman" w:eastAsia="仿宋_GB2312" w:hAnsi="Times New Roman" w:cs="Times New Roman"/>
                      <w:sz w:val="32"/>
                      <w:szCs w:val="32"/>
                    </w:rPr>
                    <w:t>网点</w:t>
                  </w:r>
                  <w:r>
                    <w:rPr>
                      <w:rFonts w:ascii="Times New Roman" w:eastAsia="仿宋_GB2312" w:hAnsi="Times New Roman" w:cs="Times New Roman" w:hint="eastAsia"/>
                      <w:sz w:val="32"/>
                      <w:szCs w:val="32"/>
                    </w:rPr>
                    <w:t>数量</w:t>
                  </w:r>
                  <w:r w:rsidRPr="00EA2B69">
                    <w:rPr>
                      <w:rFonts w:ascii="仿宋" w:eastAsia="仿宋" w:hAnsi="仿宋" w:cs="宋体"/>
                      <w:sz w:val="32"/>
                      <w:szCs w:val="32"/>
                    </w:rPr>
                    <w:t>进行比较。对比优得</w:t>
                  </w:r>
                  <w:r>
                    <w:rPr>
                      <w:rFonts w:ascii="仿宋" w:eastAsia="仿宋" w:hAnsi="仿宋" w:cs="宋体" w:hint="eastAsia"/>
                      <w:sz w:val="32"/>
                      <w:szCs w:val="32"/>
                    </w:rPr>
                    <w:t>5</w:t>
                  </w:r>
                  <w:r w:rsidRPr="00EA2B69">
                    <w:rPr>
                      <w:rFonts w:ascii="仿宋" w:eastAsia="仿宋" w:hAnsi="仿宋" w:cs="宋体"/>
                      <w:sz w:val="32"/>
                      <w:szCs w:val="32"/>
                    </w:rPr>
                    <w:t>分；对比次之得</w:t>
                  </w:r>
                  <w:r>
                    <w:rPr>
                      <w:rFonts w:ascii="仿宋" w:eastAsia="仿宋" w:hAnsi="仿宋" w:cs="宋体" w:hint="eastAsia"/>
                      <w:sz w:val="32"/>
                      <w:szCs w:val="32"/>
                    </w:rPr>
                    <w:t>3</w:t>
                  </w:r>
                  <w:r w:rsidRPr="00EA2B69">
                    <w:rPr>
                      <w:rFonts w:ascii="仿宋" w:eastAsia="仿宋" w:hAnsi="仿宋" w:cs="宋体"/>
                      <w:sz w:val="32"/>
                      <w:szCs w:val="32"/>
                    </w:rPr>
                    <w:t>分；对比一般得</w:t>
                  </w:r>
                  <w:r>
                    <w:rPr>
                      <w:rFonts w:ascii="仿宋" w:eastAsia="仿宋" w:hAnsi="仿宋" w:cs="宋体" w:hint="eastAsia"/>
                      <w:sz w:val="32"/>
                      <w:szCs w:val="32"/>
                    </w:rPr>
                    <w:t>1</w:t>
                  </w:r>
                  <w:r w:rsidRPr="00EA2B69">
                    <w:rPr>
                      <w:rFonts w:ascii="仿宋" w:eastAsia="仿宋" w:hAnsi="仿宋" w:cs="宋体"/>
                      <w:sz w:val="32"/>
                      <w:szCs w:val="32"/>
                    </w:rPr>
                    <w:t>分。</w:t>
                  </w:r>
                </w:p>
              </w:tc>
            </w:tr>
            <w:tr w:rsidR="00323D15" w14:paraId="5878C21A" w14:textId="77777777">
              <w:trPr>
                <w:trHeight w:val="1617"/>
              </w:trPr>
              <w:tc>
                <w:tcPr>
                  <w:tcW w:w="908" w:type="dxa"/>
                  <w:tcBorders>
                    <w:top w:val="outset" w:sz="6" w:space="0" w:color="auto"/>
                    <w:left w:val="outset" w:sz="6" w:space="0" w:color="auto"/>
                    <w:bottom w:val="outset" w:sz="6" w:space="0" w:color="auto"/>
                    <w:right w:val="outset" w:sz="6" w:space="0" w:color="auto"/>
                  </w:tcBorders>
                  <w:vAlign w:val="center"/>
                </w:tcPr>
                <w:p w14:paraId="6CBA6715" w14:textId="77777777" w:rsidR="00323D15" w:rsidRDefault="00323D15" w:rsidP="00323D15">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3911" w:type="dxa"/>
                  <w:tcBorders>
                    <w:top w:val="outset" w:sz="6" w:space="0" w:color="auto"/>
                    <w:left w:val="outset" w:sz="6" w:space="0" w:color="auto"/>
                    <w:bottom w:val="outset" w:sz="6" w:space="0" w:color="auto"/>
                    <w:right w:val="outset" w:sz="6" w:space="0" w:color="auto"/>
                  </w:tcBorders>
                  <w:vAlign w:val="center"/>
                </w:tcPr>
                <w:p w14:paraId="461187D7" w14:textId="292ECFB5" w:rsidR="00323D15" w:rsidRDefault="00323D15" w:rsidP="00323D15">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32"/>
                      <w:szCs w:val="32"/>
                    </w:rPr>
                    <w:t>近三</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获</w:t>
                  </w:r>
                  <w:r>
                    <w:rPr>
                      <w:rFonts w:ascii="Times New Roman" w:eastAsia="仿宋_GB2312" w:hAnsi="Times New Roman" w:cs="Times New Roman"/>
                      <w:sz w:val="32"/>
                      <w:szCs w:val="32"/>
                    </w:rPr>
                    <w:t>得</w:t>
                  </w:r>
                  <w:r>
                    <w:rPr>
                      <w:rFonts w:ascii="Times New Roman" w:eastAsia="仿宋_GB2312" w:hAnsi="Times New Roman" w:cs="Times New Roman" w:hint="eastAsia"/>
                      <w:sz w:val="32"/>
                      <w:szCs w:val="32"/>
                    </w:rPr>
                    <w:t>广州市</w:t>
                  </w:r>
                  <w:r>
                    <w:rPr>
                      <w:rFonts w:ascii="Times New Roman" w:eastAsia="仿宋_GB2312" w:hAnsi="Times New Roman" w:cs="Times New Roman"/>
                      <w:sz w:val="32"/>
                      <w:szCs w:val="32"/>
                    </w:rPr>
                    <w:t>国家有</w:t>
                  </w:r>
                  <w:r>
                    <w:rPr>
                      <w:rFonts w:ascii="Times New Roman" w:eastAsia="仿宋_GB2312" w:hAnsi="Times New Roman" w:cs="Times New Roman" w:hint="eastAsia"/>
                      <w:sz w:val="32"/>
                      <w:szCs w:val="32"/>
                    </w:rPr>
                    <w:t>关</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、保险金</w:t>
                  </w:r>
                  <w:r>
                    <w:rPr>
                      <w:rFonts w:ascii="Times New Roman" w:eastAsia="仿宋_GB2312" w:hAnsi="Times New Roman" w:cs="Times New Roman"/>
                      <w:sz w:val="32"/>
                      <w:szCs w:val="32"/>
                    </w:rPr>
                    <w:t>融系统</w:t>
                  </w:r>
                  <w:r>
                    <w:rPr>
                      <w:rFonts w:ascii="Times New Roman" w:eastAsia="仿宋_GB2312" w:hAnsi="Times New Roman" w:cs="Times New Roman" w:hint="eastAsia"/>
                      <w:sz w:val="32"/>
                      <w:szCs w:val="32"/>
                    </w:rPr>
                    <w:t>、官方</w:t>
                  </w:r>
                  <w:r>
                    <w:rPr>
                      <w:rFonts w:ascii="Times New Roman" w:eastAsia="仿宋_GB2312" w:hAnsi="Times New Roman" w:cs="Times New Roman"/>
                      <w:sz w:val="32"/>
                      <w:szCs w:val="32"/>
                    </w:rPr>
                    <w:t>媒体奖项</w:t>
                  </w:r>
                </w:p>
              </w:tc>
              <w:tc>
                <w:tcPr>
                  <w:tcW w:w="4001" w:type="dxa"/>
                  <w:tcBorders>
                    <w:top w:val="outset" w:sz="6" w:space="0" w:color="auto"/>
                    <w:left w:val="outset" w:sz="6" w:space="0" w:color="auto"/>
                    <w:bottom w:val="outset" w:sz="6" w:space="0" w:color="auto"/>
                    <w:right w:val="outset" w:sz="6" w:space="0" w:color="auto"/>
                  </w:tcBorders>
                  <w:vAlign w:val="center"/>
                </w:tcPr>
                <w:p w14:paraId="29951CA5" w14:textId="3C07A257" w:rsidR="00323D15" w:rsidRDefault="00323D15" w:rsidP="00323D15">
                  <w:pPr>
                    <w:adjustRightInd w:val="0"/>
                    <w:snapToGrid w:val="0"/>
                    <w:jc w:val="left"/>
                    <w:rPr>
                      <w:rFonts w:ascii="Times New Roman" w:eastAsia="仿宋_GB2312" w:hAnsi="Times New Roman" w:cs="Times New Roman"/>
                      <w:sz w:val="28"/>
                      <w:szCs w:val="28"/>
                    </w:rPr>
                  </w:pPr>
                  <w:r w:rsidRPr="00EA2B69">
                    <w:rPr>
                      <w:rFonts w:ascii="仿宋" w:eastAsia="仿宋" w:hAnsi="仿宋" w:cs="宋体"/>
                      <w:sz w:val="32"/>
                      <w:szCs w:val="32"/>
                    </w:rPr>
                    <w:t>每提供一份得1分，最高得</w:t>
                  </w:r>
                  <w:r w:rsidRPr="00EA2B69">
                    <w:rPr>
                      <w:rFonts w:ascii="仿宋" w:eastAsia="仿宋" w:hAnsi="仿宋" w:cs="宋体" w:hint="eastAsia"/>
                      <w:sz w:val="32"/>
                      <w:szCs w:val="32"/>
                    </w:rPr>
                    <w:t>10</w:t>
                  </w:r>
                  <w:r w:rsidRPr="00EA2B69">
                    <w:rPr>
                      <w:rFonts w:ascii="仿宋" w:eastAsia="仿宋" w:hAnsi="仿宋" w:cs="宋体"/>
                      <w:sz w:val="32"/>
                      <w:szCs w:val="32"/>
                    </w:rPr>
                    <w:t>分。（请投标人严格按照要求提交相关证明材料，否则有可能影响评审结果。）</w:t>
                  </w:r>
                </w:p>
              </w:tc>
            </w:tr>
          </w:tbl>
          <w:p w14:paraId="2BBB4952" w14:textId="77777777" w:rsidR="00245E17" w:rsidRDefault="00245E17">
            <w:pPr>
              <w:rPr>
                <w:rFonts w:ascii="仿宋" w:eastAsia="仿宋" w:hAnsi="仿宋"/>
                <w:sz w:val="28"/>
                <w:szCs w:val="28"/>
              </w:rPr>
            </w:pPr>
          </w:p>
        </w:tc>
      </w:tr>
    </w:tbl>
    <w:p w14:paraId="3E72F0CB" w14:textId="77777777" w:rsidR="00245E17" w:rsidRDefault="0052434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）价格评分（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p>
    <w:p w14:paraId="5A8C6D6B" w14:textId="77777777" w:rsidR="00245E17" w:rsidRDefault="0052434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按照报价由低到高进行排列，第一名为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分，次之以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分递减，最低分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14:paraId="584E7B42" w14:textId="13F10553"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13</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采购</w:t>
      </w:r>
      <w:r>
        <w:rPr>
          <w:rFonts w:ascii="Times New Roman" w:eastAsia="仿宋_GB2312" w:hAnsi="Times New Roman" w:cs="Times New Roman"/>
          <w:kern w:val="2"/>
          <w:sz w:val="32"/>
          <w:szCs w:val="32"/>
        </w:rPr>
        <w:t>项目</w:t>
      </w:r>
      <w:r w:rsidR="00323D15">
        <w:rPr>
          <w:rFonts w:ascii="Times New Roman" w:eastAsia="仿宋_GB2312" w:hAnsi="Times New Roman" w:cs="Times New Roman" w:hint="eastAsia"/>
          <w:kern w:val="2"/>
          <w:sz w:val="32"/>
          <w:szCs w:val="32"/>
        </w:rPr>
        <w:t>询价</w:t>
      </w:r>
      <w:r>
        <w:rPr>
          <w:rFonts w:ascii="Times New Roman" w:eastAsia="仿宋_GB2312" w:hAnsi="Times New Roman" w:cs="Times New Roman"/>
          <w:kern w:val="2"/>
          <w:sz w:val="32"/>
          <w:szCs w:val="32"/>
        </w:rPr>
        <w:t>文件提交的时间及地点：</w:t>
      </w:r>
    </w:p>
    <w:p w14:paraId="55DB8790" w14:textId="5DA87182"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时间：</w:t>
      </w:r>
      <w:r>
        <w:rPr>
          <w:rFonts w:ascii="Times New Roman" w:eastAsia="仿宋_GB2312" w:hAnsi="Times New Roman" w:cs="Times New Roman"/>
          <w:kern w:val="2"/>
          <w:sz w:val="32"/>
          <w:szCs w:val="32"/>
        </w:rPr>
        <w:t>2019</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月</w:t>
      </w:r>
      <w:r w:rsidR="00A0508B">
        <w:rPr>
          <w:rFonts w:ascii="Times New Roman" w:eastAsia="仿宋_GB2312" w:hAnsi="Times New Roman" w:cs="Times New Roman"/>
          <w:kern w:val="2"/>
          <w:sz w:val="32"/>
          <w:szCs w:val="32"/>
        </w:rPr>
        <w:t>19</w:t>
      </w:r>
      <w:r>
        <w:rPr>
          <w:rFonts w:ascii="Times New Roman" w:eastAsia="仿宋_GB2312" w:hAnsi="Times New Roman" w:cs="Times New Roman"/>
          <w:kern w:val="2"/>
          <w:sz w:val="32"/>
          <w:szCs w:val="32"/>
        </w:rPr>
        <w:t>日上午</w:t>
      </w:r>
      <w:r w:rsidR="00A0508B">
        <w:rPr>
          <w:rFonts w:ascii="Times New Roman" w:eastAsia="仿宋_GB2312" w:hAnsi="Times New Roman" w:cs="Times New Roman" w:hint="eastAsia"/>
          <w:kern w:val="2"/>
          <w:sz w:val="32"/>
          <w:szCs w:val="32"/>
        </w:rPr>
        <w:t>12</w:t>
      </w:r>
      <w:r>
        <w:rPr>
          <w:rFonts w:ascii="Times New Roman" w:eastAsia="仿宋_GB2312" w:hAnsi="Times New Roman" w:cs="Times New Roman"/>
          <w:kern w:val="2"/>
          <w:sz w:val="32"/>
          <w:szCs w:val="32"/>
        </w:rPr>
        <w:t>时</w:t>
      </w:r>
      <w:r>
        <w:rPr>
          <w:rFonts w:ascii="Times New Roman" w:eastAsia="仿宋_GB2312" w:hAnsi="Times New Roman" w:cs="Times New Roman"/>
          <w:kern w:val="2"/>
          <w:sz w:val="32"/>
          <w:szCs w:val="32"/>
        </w:rPr>
        <w:t>00</w:t>
      </w:r>
      <w:r>
        <w:rPr>
          <w:rFonts w:ascii="Times New Roman" w:eastAsia="仿宋_GB2312" w:hAnsi="Times New Roman" w:cs="Times New Roman"/>
          <w:kern w:val="2"/>
          <w:sz w:val="32"/>
          <w:szCs w:val="32"/>
        </w:rPr>
        <w:t>分，逾时作自动放弃。</w:t>
      </w:r>
    </w:p>
    <w:p w14:paraId="61EC916D"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地点：广州市越秀区东风西路</w:t>
      </w:r>
      <w:r>
        <w:rPr>
          <w:rFonts w:ascii="Times New Roman" w:eastAsia="仿宋_GB2312" w:hAnsi="Times New Roman" w:cs="Times New Roman"/>
          <w:kern w:val="2"/>
          <w:sz w:val="32"/>
          <w:szCs w:val="32"/>
        </w:rPr>
        <w:t>167</w:t>
      </w:r>
      <w:r>
        <w:rPr>
          <w:rFonts w:ascii="Times New Roman" w:eastAsia="仿宋_GB2312" w:hAnsi="Times New Roman" w:cs="Times New Roman"/>
          <w:kern w:val="2"/>
          <w:sz w:val="32"/>
          <w:szCs w:val="32"/>
        </w:rPr>
        <w:t>号广州市少年宫</w:t>
      </w:r>
    </w:p>
    <w:p w14:paraId="4B93F4F0"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项目咨询电话：</w:t>
      </w:r>
      <w:r>
        <w:rPr>
          <w:rFonts w:ascii="Times New Roman" w:eastAsia="仿宋_GB2312" w:hAnsi="Times New Roman" w:cs="Times New Roman"/>
          <w:kern w:val="2"/>
          <w:sz w:val="32"/>
          <w:szCs w:val="32"/>
        </w:rPr>
        <w:t>020-38291308</w:t>
      </w:r>
    </w:p>
    <w:p w14:paraId="06287C13" w14:textId="77777777" w:rsidR="00245E17" w:rsidRDefault="0052434C">
      <w:pPr>
        <w:pStyle w:val="a7"/>
        <w:adjustRightInd w:val="0"/>
        <w:snapToGrid w:val="0"/>
        <w:spacing w:beforeAutospacing="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联系人：吴老师</w:t>
      </w:r>
    </w:p>
    <w:p w14:paraId="5A2C930F" w14:textId="77777777" w:rsidR="00245E17" w:rsidRDefault="00245E17">
      <w:pPr>
        <w:adjustRightInd w:val="0"/>
        <w:snapToGrid w:val="0"/>
        <w:spacing w:line="560" w:lineRule="exact"/>
      </w:pPr>
    </w:p>
    <w:sectPr w:rsidR="00245E17">
      <w:pgSz w:w="11906" w:h="16838"/>
      <w:pgMar w:top="2098" w:right="1474" w:bottom="1984" w:left="1587" w:header="851" w:footer="992" w:gutter="0"/>
      <w:cols w:space="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yt" w:date="2019-06-12T17:47:00Z" w:initials="G">
    <w:p w14:paraId="41C0BFFF" w14:textId="77777777" w:rsidR="00E833AF" w:rsidRDefault="00E833AF" w:rsidP="00E833AF">
      <w:pPr>
        <w:pStyle w:val="aa"/>
      </w:pPr>
      <w:r>
        <w:rPr>
          <w:rStyle w:val="a9"/>
        </w:rPr>
        <w:annotationRef/>
      </w:r>
      <w:r>
        <w:rPr>
          <w:rFonts w:hint="eastAsia"/>
        </w:rPr>
        <w:t>请核对此处表达是否准确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0BF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C9F3F" w14:textId="77777777" w:rsidR="00E562F3" w:rsidRDefault="00E562F3" w:rsidP="00E562F3">
      <w:r>
        <w:separator/>
      </w:r>
    </w:p>
  </w:endnote>
  <w:endnote w:type="continuationSeparator" w:id="0">
    <w:p w14:paraId="5FC91DA0" w14:textId="77777777" w:rsidR="00E562F3" w:rsidRDefault="00E562F3" w:rsidP="00E5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34E8" w14:textId="77777777" w:rsidR="00E562F3" w:rsidRDefault="00E562F3" w:rsidP="00E562F3">
      <w:r>
        <w:separator/>
      </w:r>
    </w:p>
  </w:footnote>
  <w:footnote w:type="continuationSeparator" w:id="0">
    <w:p w14:paraId="2EE68DD5" w14:textId="77777777" w:rsidR="00E562F3" w:rsidRDefault="00E562F3" w:rsidP="00E56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64"/>
    <w:rsid w:val="00072CF3"/>
    <w:rsid w:val="001A27EB"/>
    <w:rsid w:val="00213B5E"/>
    <w:rsid w:val="00245E17"/>
    <w:rsid w:val="002B2697"/>
    <w:rsid w:val="002D3D26"/>
    <w:rsid w:val="00323D15"/>
    <w:rsid w:val="00342FC8"/>
    <w:rsid w:val="003470C5"/>
    <w:rsid w:val="0036094D"/>
    <w:rsid w:val="003B4726"/>
    <w:rsid w:val="0046591D"/>
    <w:rsid w:val="004B381C"/>
    <w:rsid w:val="00511D0B"/>
    <w:rsid w:val="00514CAC"/>
    <w:rsid w:val="0052434C"/>
    <w:rsid w:val="005352D3"/>
    <w:rsid w:val="006575B7"/>
    <w:rsid w:val="006C2B5E"/>
    <w:rsid w:val="00712CFB"/>
    <w:rsid w:val="00735716"/>
    <w:rsid w:val="008929D1"/>
    <w:rsid w:val="00900363"/>
    <w:rsid w:val="00905F1E"/>
    <w:rsid w:val="00956C64"/>
    <w:rsid w:val="009816FD"/>
    <w:rsid w:val="009A53E3"/>
    <w:rsid w:val="009B6DC6"/>
    <w:rsid w:val="009C7C16"/>
    <w:rsid w:val="00A0270F"/>
    <w:rsid w:val="00A0508B"/>
    <w:rsid w:val="00A35A2F"/>
    <w:rsid w:val="00A857BD"/>
    <w:rsid w:val="00B026F7"/>
    <w:rsid w:val="00B04CFC"/>
    <w:rsid w:val="00BC59AD"/>
    <w:rsid w:val="00C15478"/>
    <w:rsid w:val="00C20DDE"/>
    <w:rsid w:val="00C37F96"/>
    <w:rsid w:val="00C41B3F"/>
    <w:rsid w:val="00C83B80"/>
    <w:rsid w:val="00C90591"/>
    <w:rsid w:val="00CA3463"/>
    <w:rsid w:val="00CC63E5"/>
    <w:rsid w:val="00CE10D2"/>
    <w:rsid w:val="00D610E3"/>
    <w:rsid w:val="00DB37D9"/>
    <w:rsid w:val="00E562F3"/>
    <w:rsid w:val="00E675B3"/>
    <w:rsid w:val="00E833AF"/>
    <w:rsid w:val="00EA2B69"/>
    <w:rsid w:val="00F1651B"/>
    <w:rsid w:val="00F16F3E"/>
    <w:rsid w:val="00F72032"/>
    <w:rsid w:val="00FA58D7"/>
    <w:rsid w:val="00FF4C72"/>
    <w:rsid w:val="01130691"/>
    <w:rsid w:val="09B22C78"/>
    <w:rsid w:val="0D0A426A"/>
    <w:rsid w:val="1AD13B6E"/>
    <w:rsid w:val="1AF6605B"/>
    <w:rsid w:val="1EE76409"/>
    <w:rsid w:val="215E1121"/>
    <w:rsid w:val="27650429"/>
    <w:rsid w:val="37AD285E"/>
    <w:rsid w:val="3AF4493E"/>
    <w:rsid w:val="3D7F73C9"/>
    <w:rsid w:val="3EF31A40"/>
    <w:rsid w:val="41DB7834"/>
    <w:rsid w:val="42BB1B68"/>
    <w:rsid w:val="443F2DD4"/>
    <w:rsid w:val="45064E79"/>
    <w:rsid w:val="46C835BA"/>
    <w:rsid w:val="58726CCB"/>
    <w:rsid w:val="5D463454"/>
    <w:rsid w:val="5F3962E8"/>
    <w:rsid w:val="65E73262"/>
    <w:rsid w:val="6CEE00D0"/>
    <w:rsid w:val="72B94AEF"/>
    <w:rsid w:val="7E7B40E9"/>
    <w:rsid w:val="7ED04732"/>
    <w:rsid w:val="7EDD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EC6CE"/>
  <w15:docId w15:val="{D962AD0C-F203-4E03-82D5-227577A0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宋体"/>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spacing w:beforeAutospacing="1" w:afterAutospacing="1"/>
      <w:jc w:val="left"/>
    </w:pPr>
    <w:rPr>
      <w:kern w:val="0"/>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basedOn w:val="a0"/>
    <w:link w:val="a3"/>
    <w:uiPriority w:val="99"/>
    <w:qFormat/>
    <w:rPr>
      <w:rFonts w:ascii="宋体" w:eastAsia="宋体" w:hAnsi="Courier New" w:cs="宋体"/>
      <w:szCs w:val="21"/>
    </w:rPr>
  </w:style>
  <w:style w:type="character" w:customStyle="1" w:styleId="Char0">
    <w:name w:val="批注框文本 Char"/>
    <w:basedOn w:val="a0"/>
    <w:link w:val="a4"/>
    <w:uiPriority w:val="99"/>
    <w:semiHidden/>
    <w:qFormat/>
    <w:rPr>
      <w:rFonts w:ascii="Calibri" w:hAnsi="Calibri" w:cs="Calibri"/>
      <w:kern w:val="2"/>
      <w:sz w:val="18"/>
      <w:szCs w:val="18"/>
    </w:rPr>
  </w:style>
  <w:style w:type="character" w:styleId="a9">
    <w:name w:val="annotation reference"/>
    <w:basedOn w:val="a0"/>
    <w:uiPriority w:val="99"/>
    <w:semiHidden/>
    <w:unhideWhenUsed/>
    <w:rsid w:val="00E833AF"/>
    <w:rPr>
      <w:sz w:val="21"/>
      <w:szCs w:val="21"/>
    </w:rPr>
  </w:style>
  <w:style w:type="paragraph" w:styleId="aa">
    <w:name w:val="annotation text"/>
    <w:basedOn w:val="a"/>
    <w:link w:val="Char3"/>
    <w:uiPriority w:val="99"/>
    <w:semiHidden/>
    <w:unhideWhenUsed/>
    <w:rsid w:val="00E833AF"/>
    <w:pPr>
      <w:jc w:val="left"/>
    </w:pPr>
  </w:style>
  <w:style w:type="character" w:customStyle="1" w:styleId="Char3">
    <w:name w:val="批注文字 Char"/>
    <w:basedOn w:val="a0"/>
    <w:link w:val="aa"/>
    <w:uiPriority w:val="99"/>
    <w:semiHidden/>
    <w:rsid w:val="00E833AF"/>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0882A-F4E2-4797-9DE6-103788A1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2019-06-13T06:46:00Z</dcterms:created>
  <dcterms:modified xsi:type="dcterms:W3CDTF">2019-06-13T08:23:00Z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