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uto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ascii="宋体" w:hAnsi="宋体" w:eastAsia="宋体" w:cs="宋体"/>
          <w:sz w:val="44"/>
        </w:rPr>
        <w:t>询价通知书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仿宋_GB2312"/>
          <w:kern w:val="2"/>
          <w:sz w:val="32"/>
          <w:szCs w:val="32"/>
        </w:rPr>
        <w:t xml:space="preserve">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 xml:space="preserve">    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本单位就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广州市少年宫美术培训部关于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采购公益性校外教育系列活动视频制作服务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，请合格的供应商予以报价。</w:t>
      </w:r>
    </w:p>
    <w:p>
      <w:pPr>
        <w:pStyle w:val="4"/>
        <w:widowControl/>
        <w:spacing w:beforeAutospacing="0" w:afterAutospacing="0" w:line="440" w:lineRule="exact"/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ascii="Times New Roman" w:hAnsi="仿宋_GB2312" w:eastAsia="仿宋_GB2312" w:cs="仿宋_GB2312"/>
          <w:kern w:val="2"/>
          <w:sz w:val="32"/>
          <w:szCs w:val="32"/>
        </w:rPr>
        <w:t>1、项目编号：GZSSNG-WSXJ-MSB-201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-00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仿宋_GB2312"/>
          <w:kern w:val="2"/>
          <w:sz w:val="32"/>
          <w:szCs w:val="32"/>
        </w:rPr>
        <w:t>2、项目名称：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广州市少年宫美术培训部关于关于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采购公益性校外教育系列活动视频制作服务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仿宋_GB2312" w:eastAsia="仿宋_GB2312" w:cs="仿宋_GB2312"/>
          <w:kern w:val="2"/>
          <w:sz w:val="32"/>
          <w:szCs w:val="32"/>
        </w:rPr>
        <w:t>3、项目内容：</w:t>
      </w:r>
    </w:p>
    <w:tbl>
      <w:tblPr>
        <w:tblStyle w:val="5"/>
        <w:tblpPr w:leftFromText="180" w:rightFromText="180" w:vertAnchor="text" w:horzAnchor="page" w:tblpX="1499" w:tblpY="312"/>
        <w:tblOverlap w:val="never"/>
        <w:tblW w:w="9064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29"/>
        <w:gridCol w:w="1519"/>
        <w:gridCol w:w="615"/>
        <w:gridCol w:w="615"/>
        <w:gridCol w:w="735"/>
        <w:gridCol w:w="795"/>
        <w:gridCol w:w="425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1" w:hRule="atLeast"/>
        </w:trPr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总价</w:t>
            </w:r>
          </w:p>
        </w:tc>
        <w:tc>
          <w:tcPr>
            <w:tcW w:w="4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拍摄方案策划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highlight w:val="none"/>
                <w:lang w:val="en-US" w:eastAsia="zh-CN"/>
              </w:rPr>
              <w:t>策划者需极具专业策划水平，需具有十年以上大型活动拍摄策划经验。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4" w:hRule="atLeast"/>
        </w:trPr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文案书写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需有十年以上的大型户外活动的文案书写经验，文字功底深厚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外出拍摄费用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摄影师须有十年以上的大型户外活动拍摄经验，对抓拍极具经验，需有三台专业肩扛式电视台广播级专业高清摄影机，时间两天一夜，需自行解决包括交通、餐饮及住宿。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摄影棚拍摄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人物采访，需具200平方以上专业摄影棚，需要三台大型高清广播级专业机（其中一台需要摇臂），具20米以上导轨，舞台背景搭景（需专业搭建团队）、10年以上专业经验的化妆师一名、灯光师一名、音响师一名，时间一天，需自行解决餐饮交通等费用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后期剪辑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调色校色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剪辑师及调色师需具有10年以上大型活动视频剪辑、调色经验，剪辑三条成片，包括3分种的活动花絮片、10分钟的活动大片及3分钟的宣传片。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特效制作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制作者需具十年以上的特效制作经验。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三维制作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根据文案将有30-45秒的三维镜头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三维制作师需要10年以上的三维制作经验。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专业配音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专业男、女声配音各一名，需有为4A广告公司配音经验，不少于十年。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活动照片拍摄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需用佳能Canon 5D Mark以上的专业单反相机两台机，拍摄者需极具专业抓拍触觉，要拍出精彩清晰的照片，时间一晚两天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拍摄者需自行解决交通、住宿、餐饮等。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196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00.00元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5、合格的供应商应具备公告中列明的所有资格要求。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4"/>
        <w:widowControl/>
        <w:spacing w:beforeAutospacing="0" w:afterAutospacing="0" w:line="440" w:lineRule="exact"/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7、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要求被询价的供应商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在递交报价文件的同时，需要递交符合要求的相关工作人员的资质证明文件复印件。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、采购方式：询价采购。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10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、交货期：中标后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90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天内供货完毕交付采购人使用。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、供货地点：广州市少年宫内采购人指定的地点。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、报价方必须提供产品的质量保证说明及售后服务承诺。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货物安装所需的配件或附加件，在合同签订前由成交供应商提交具体清单供采购单位确认。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售后服务：本采购要求询价响应供应商需要满足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采购方在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已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有拍摄素材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基础上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提出的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有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关视频作品的修改要求，并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为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采购方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提出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的各种宣传场合制作符合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要求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的宣传片格式的视频。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\h </w:instrText>
      </w:r>
      <w:r>
        <w:fldChar w:fldCharType="separate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经济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fldChar w:fldCharType="end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（1）、验收依据：询价通知书、询价报价、询价响应文件、厂家货物技术标准说明及国家有关的质量标准规定，均为验收依据。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（2）、货物验收：货物运抵采购人处后由双方对照采购清单及技术要求进行验收。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（1）未提供营业执照有效复印件（加盖投标企业公章）。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（2）询价响应文件字迹模糊不清（包括提交的各类复印件、图纸）。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（3）询价响应内容、技术标准、售后服务没有实质性响应询价文件要求。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（4）未提供询价响应文件、报价一览表、售后服务体系说明及售后服务承诺。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、询价项目报价文件提交的时间及地点：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时间：2018年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日上午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时00分，逾时作自动放弃。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地点：广州市越秀区东风西路167号广州市少年宫2号楼406室。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项目咨询电话：020-37857016</w:t>
      </w:r>
      <w:r>
        <w:rPr>
          <w:rFonts w:eastAsia="仿宋_GB2312"/>
          <w:kern w:val="2"/>
          <w:sz w:val="32"/>
          <w:szCs w:val="32"/>
        </w:rPr>
        <w:t>  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联系人：曾老师</w:t>
      </w:r>
    </w:p>
    <w:p>
      <w:pPr>
        <w:spacing w:line="440" w:lineRule="exact"/>
        <w:rPr>
          <w:rFonts w:ascii="Calibri" w:hAnsi="Calibri" w:eastAsia="Calibri" w:cs="Calibr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81D73"/>
    <w:rsid w:val="00041778"/>
    <w:rsid w:val="00044BE1"/>
    <w:rsid w:val="00081D73"/>
    <w:rsid w:val="0014168B"/>
    <w:rsid w:val="00187CC5"/>
    <w:rsid w:val="001D47E3"/>
    <w:rsid w:val="00254CBF"/>
    <w:rsid w:val="007B6909"/>
    <w:rsid w:val="007F0A93"/>
    <w:rsid w:val="008A7998"/>
    <w:rsid w:val="00AD52F1"/>
    <w:rsid w:val="00B06533"/>
    <w:rsid w:val="00B35EE1"/>
    <w:rsid w:val="00D01DBE"/>
    <w:rsid w:val="00D60979"/>
    <w:rsid w:val="00ED3F30"/>
    <w:rsid w:val="116660C0"/>
    <w:rsid w:val="3D3923C3"/>
    <w:rsid w:val="66071A76"/>
    <w:rsid w:val="69C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226</Words>
  <Characters>1292</Characters>
  <Lines>10</Lines>
  <Paragraphs>3</Paragraphs>
  <TotalTime>5</TotalTime>
  <ScaleCrop>false</ScaleCrop>
  <LinksUpToDate>false</LinksUpToDate>
  <CharactersWithSpaces>1515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2018-02-06T06:30:00Z</dcterms:created>
  <dc:creator>306-SF20801</dc:creator>
  <cp:lastModifiedBy>306SF2</cp:lastModifiedBy>
  <dcterms:modified xsi:type="dcterms:W3CDTF">2019-04-28T09:06:25Z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