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3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 xml:space="preserve">     本单位就广州市少年宫关于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特殊教育二十周年档案整理及公益传播执行服务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采购项目进行询价，请合格的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供应商予以报价。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项目编号：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TJB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-201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-00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二、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项目名称：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广州市少年宫关于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特殊教育二十周年档案整理及公益传播执行服务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采购项目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三、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项目内容：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）短视频两条，需分别讲述特殊儿童在少年宫的成长故事、展现广州市少年宫融合教育20年的探索历程。</w:t>
      </w:r>
    </w:p>
    <w:p>
      <w:pPr>
        <w:adjustRightInd/>
        <w:snapToGrid/>
        <w:spacing w:after="0" w:line="450" w:lineRule="atLeas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）短视频推广，在线视频、官方微博、App、视频频道、微信公众号等渠道推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广。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、项目中标单位职责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（一）负责根据采购方需求编制服务方案；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（二）要求做好安全保障措施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）中标单位须出具相应费用的有效发票，凭发票进行费用结算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五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8万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、支付方式</w:t>
      </w:r>
    </w:p>
    <w:p>
      <w:pPr>
        <w:adjustRightInd/>
        <w:snapToGrid/>
        <w:spacing w:after="0" w:line="450" w:lineRule="atLeast"/>
        <w:ind w:firstLine="640" w:firstLineChars="200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合同签订之日起7个工作日内，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中标单位须出具相应费用的有效发票，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采购人办理付款手续，向中标单位一次性支付全部费用。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八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3"/>
        <w:widowControl/>
        <w:spacing w:beforeAutospacing="0" w:afterAutospacing="0" w:line="450" w:lineRule="atLeast"/>
        <w:ind w:firstLine="640" w:firstLineChars="200"/>
        <w:rPr>
          <w:rFonts w:ascii="宋体" w:cs="Times New Roman"/>
          <w:color w:val="000000"/>
          <w:shd w:val="clear" w:color="auto" w:fill="FDFAF5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九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采购方式：询价采购。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十、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本次询价为整体采购，询价响应供应商报价时须写明单价及总价、服务的详细配置参数，定标后不再增补任何费用。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一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交货期：按合同约定时间。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   十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eastAsia="zh-CN"/>
        </w:rPr>
        <w:t>二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保密要求：应严格遵守国家有关保密法律法规，不得泄露与本项目有关的秘密，亦不得将其用于履行本项目之外的其他用途，即便提供给与履行本合同有关的人员，也应该保密并限于履行合同所需范围内使用。造成泄密的，将依法追究有关人员的法律责任。无论本项目是否变更、解除、终止，本条款均持续有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、评审、定标原则：在所有的询价文件符合询价采购文件各项要求的情况下，以最低的报价，优质的服务最优者为成交供应商。</w:t>
      </w:r>
      <w:r>
        <w:rPr>
          <w:rFonts w:ascii="Times New Roman" w:hAnsi="仿宋_GB2312" w:eastAsia="仿宋_GB2312" w:cs="仿宋_GB2312"/>
          <w:kern w:val="2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outlineLvl w:val="9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、未提供下列文件，投标文件无效，作为废标处理：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）授权单位盖公章、法定代表人签名的有效授权委托书；有效的工商营业执照和相关资质证书的复印件；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）报价表；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</w:t>
      </w:r>
      <w:r>
        <w:rPr>
          <w:rFonts w:ascii="Times New Roman" w:hAnsi="仿宋_GB2312" w:eastAsia="仿宋_GB2312" w:cs="仿宋_GB231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sz w:val="32"/>
          <w:szCs w:val="32"/>
        </w:rPr>
        <w:t>）服务方案；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（4）项目评审要求提交的证明文件；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150"/>
        <w:jc w:val="left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（5）报价人认为应提供的其他资料。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outlineLvl w:val="9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十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五</w:t>
      </w:r>
      <w:r>
        <w:rPr>
          <w:rFonts w:hint="eastAsia" w:ascii="Times New Roman" w:hAnsi="仿宋_GB2312" w:eastAsia="仿宋_GB2312"/>
          <w:sz w:val="32"/>
          <w:szCs w:val="32"/>
        </w:rPr>
        <w:t>、</w:t>
      </w:r>
      <w:r>
        <w:rPr>
          <w:rFonts w:hint="eastAsia" w:ascii="Times New Roman" w:hAnsi="仿宋_GB2312" w:eastAsia="仿宋_GB2312" w:cs="仿宋_GB2312"/>
          <w:sz w:val="32"/>
          <w:szCs w:val="32"/>
        </w:rPr>
        <w:t>询价项目报价文件提交的时间及地点：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16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日上午9时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分，逾时作自动放弃。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地点：广州市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天河区华就路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273号第二少年宫212室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。</w:t>
      </w: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020-</w:t>
      </w:r>
      <w:r>
        <w:rPr>
          <w:rFonts w:hint="eastAsia" w:ascii="Times New Roman" w:hAnsi="仿宋_GB2312" w:eastAsia="仿宋_GB2312" w:cs="Times New Roman"/>
          <w:color w:val="auto"/>
          <w:kern w:val="2"/>
          <w:sz w:val="32"/>
          <w:szCs w:val="32"/>
          <w:lang w:val="en-US" w:eastAsia="zh-CN"/>
        </w:rPr>
        <w:t>37857455</w:t>
      </w:r>
    </w:p>
    <w:p>
      <w:pPr>
        <w:rPr>
          <w:rFonts w:ascii="Times New Roman" w:hAnsi="仿宋_GB2312" w:eastAsia="仿宋_GB2312" w:cs="仿宋_GB2312"/>
          <w:color w:val="auto"/>
          <w:sz w:val="32"/>
          <w:szCs w:val="32"/>
        </w:rPr>
      </w:pPr>
      <w:r>
        <w:rPr>
          <w:rFonts w:ascii="Times New Roman" w:hAnsi="仿宋_GB2312" w:eastAsia="仿宋_GB2312" w:cs="Times New Roman"/>
          <w:color w:val="auto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许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老师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outlineLvl w:val="9"/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十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、开标时间: 201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16</w:t>
      </w:r>
      <w:r>
        <w:rPr>
          <w:rFonts w:hint="eastAsia" w:ascii="Times New Roman" w:hAnsi="仿宋_GB2312" w:eastAsia="仿宋_GB2312" w:cs="仿宋_GB2312"/>
          <w:color w:val="auto"/>
          <w:kern w:val="2"/>
          <w:sz w:val="32"/>
          <w:szCs w:val="32"/>
        </w:rPr>
        <w:t>日下午17时后，评审小组按评审、定标原则选定1名中标人。</w:t>
      </w:r>
    </w:p>
    <w:p>
      <w:pPr>
        <w:pStyle w:val="7"/>
        <w:ind w:firstLine="640"/>
        <w:rPr>
          <w:rFonts w:ascii="Times New Roman" w:hAnsi="仿宋_GB2312" w:eastAsia="仿宋_GB2312" w:cs="仿宋_GB2312"/>
          <w:color w:val="auto"/>
          <w:sz w:val="32"/>
          <w:szCs w:val="32"/>
        </w:rPr>
      </w:pPr>
    </w:p>
    <w:p>
      <w:pPr>
        <w:pStyle w:val="7"/>
        <w:ind w:firstLine="640"/>
        <w:rPr>
          <w:rFonts w:ascii="Times New Roman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4695C"/>
    <w:multiLevelType w:val="singleLevel"/>
    <w:tmpl w:val="5A4469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17902"/>
    <w:rsid w:val="02B82BF2"/>
    <w:rsid w:val="04D97D9C"/>
    <w:rsid w:val="0DD15E3E"/>
    <w:rsid w:val="12541C5F"/>
    <w:rsid w:val="135A3F0A"/>
    <w:rsid w:val="1E263021"/>
    <w:rsid w:val="21C17902"/>
    <w:rsid w:val="2C2A24D8"/>
    <w:rsid w:val="314B1C3A"/>
    <w:rsid w:val="32853743"/>
    <w:rsid w:val="3531661F"/>
    <w:rsid w:val="37062BCA"/>
    <w:rsid w:val="379C733E"/>
    <w:rsid w:val="37CA3E1B"/>
    <w:rsid w:val="37FD345A"/>
    <w:rsid w:val="3A725B0E"/>
    <w:rsid w:val="3EF06EE5"/>
    <w:rsid w:val="424B0A88"/>
    <w:rsid w:val="47A76474"/>
    <w:rsid w:val="48201971"/>
    <w:rsid w:val="48B4357A"/>
    <w:rsid w:val="494F72E4"/>
    <w:rsid w:val="49781A31"/>
    <w:rsid w:val="4EAE2599"/>
    <w:rsid w:val="53F57816"/>
    <w:rsid w:val="55581E08"/>
    <w:rsid w:val="57F440AF"/>
    <w:rsid w:val="58807196"/>
    <w:rsid w:val="5EAD31A7"/>
    <w:rsid w:val="60212FF6"/>
    <w:rsid w:val="642521F5"/>
    <w:rsid w:val="67A3658D"/>
    <w:rsid w:val="69FB2CB9"/>
    <w:rsid w:val="6BA2703A"/>
    <w:rsid w:val="6C2323D2"/>
    <w:rsid w:val="71877919"/>
    <w:rsid w:val="754D691B"/>
    <w:rsid w:val="7EC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Autospacing="1" w:after="0" w:afterAutospacing="1"/>
    </w:pPr>
    <w:rPr>
      <w:rFonts w:ascii="Calibri" w:hAnsi="Calibri" w:eastAsia="宋体" w:cs="Calibri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2017-07-13T09:07:00Z</dcterms:created>
  <dc:creator>zong</dc:creator>
  <cp:lastModifiedBy>许宁</cp:lastModifiedBy>
  <cp:lastPrinted>2018-10-11T03:35:00Z</cp:lastPrinted>
  <dcterms:modified xsi:type="dcterms:W3CDTF">2018-10-11T07:44:57Z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