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 xml:space="preserve"> 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    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本单位就广州市少年宫关于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“雨后彩虹”融合教育专题展演活动节目创意及音乐创作执行服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务采购项目进行询价，请合格的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供应商予以报价。</w:t>
      </w:r>
    </w:p>
    <w:p>
      <w:pPr>
        <w:pStyle w:val="3"/>
        <w:widowControl/>
        <w:numPr>
          <w:ilvl w:val="0"/>
          <w:numId w:val="1"/>
        </w:numPr>
        <w:spacing w:beforeAutospacing="0" w:afterAutospacing="0" w:line="450" w:lineRule="atLeast"/>
        <w:ind w:firstLine="640" w:firstLineChars="200"/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项目编号：</w:t>
      </w: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  <w:t>GZSSNG-WSXJ-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TJB</w:t>
      </w: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  <w:t>-201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8</w:t>
      </w: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  <w:t>-00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6</w:t>
      </w:r>
    </w:p>
    <w:p>
      <w:pPr>
        <w:pStyle w:val="3"/>
        <w:widowControl/>
        <w:spacing w:beforeAutospacing="0" w:afterAutospacing="0" w:line="450" w:lineRule="atLeast"/>
        <w:ind w:firstLine="640" w:firstLineChars="200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二、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项目名称：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广州市少年宫关于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“雨后彩虹”融合教育专题展演活动节目创意及音乐创作执行服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务采购项目</w:t>
      </w:r>
    </w:p>
    <w:p>
      <w:pPr>
        <w:pStyle w:val="3"/>
        <w:widowControl/>
        <w:spacing w:beforeAutospacing="0" w:afterAutospacing="0" w:line="450" w:lineRule="atLeast"/>
        <w:ind w:firstLine="640" w:firstLineChars="200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三、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项目内容：</w:t>
      </w:r>
    </w:p>
    <w:p>
      <w:pPr>
        <w:pStyle w:val="3"/>
        <w:widowControl/>
        <w:spacing w:beforeAutospacing="0" w:afterAutospacing="0" w:line="450" w:lineRule="atLeas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展演活动编排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60-80</w:t>
      </w:r>
      <w:r>
        <w:rPr>
          <w:rFonts w:hint="eastAsia" w:ascii="仿宋_GB2312" w:hAnsi="仿宋_GB2312" w:eastAsia="仿宋_GB2312" w:cs="仿宋_GB2312"/>
          <w:sz w:val="32"/>
          <w:szCs w:val="32"/>
        </w:rPr>
        <w:t>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>
      <w:pPr>
        <w:pStyle w:val="3"/>
        <w:widowControl/>
        <w:numPr>
          <w:ilvl w:val="0"/>
          <w:numId w:val="0"/>
        </w:numPr>
        <w:spacing w:beforeAutospacing="0" w:afterAutospacing="0" w:line="450" w:lineRule="atLeast"/>
        <w:ind w:firstLine="320" w:firstLineChars="1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展演类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原创音乐作品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及制作（3-6首）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2"/>
        <w:ind w:firstLine="320" w:firstLineChars="100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 w:bidi="ar-SA"/>
        </w:rPr>
        <w:t>（3） 推荐一名现代音乐风格的作曲家、专业能力全面、教授级别、有为特殊人士服务经验的相关人士担任2018年度特殊教育艺术展演活动监制。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四、项目基本情况及需求</w:t>
      </w:r>
    </w:p>
    <w:p>
      <w:pPr>
        <w:adjustRightInd/>
        <w:snapToGrid/>
        <w:spacing w:after="0" w:line="450" w:lineRule="atLeast"/>
        <w:ind w:firstLine="640" w:firstLineChars="200"/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(一)活动名称</w:t>
      </w:r>
    </w:p>
    <w:p>
      <w:pPr>
        <w:adjustRightInd/>
        <w:snapToGrid/>
        <w:spacing w:after="0" w:line="450" w:lineRule="atLeast"/>
        <w:ind w:firstLine="640" w:firstLineChars="200"/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广州市少年宫“雨后彩虹”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融合教育专题展演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(二)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活动目的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为更好的贯彻党的十九大报告中“办好特殊教育，努力让每个孩子都能享有公平而有质量的教育”，配合中国青年报“强国一代有我在”主题活动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开展</w:t>
      </w:r>
      <w:r>
        <w:rPr>
          <w:rFonts w:hint="eastAsia" w:ascii="Times New Roman" w:hAnsi="Times New Roman" w:eastAsia="仿宋_GB2312"/>
          <w:sz w:val="32"/>
          <w:szCs w:val="32"/>
        </w:rPr>
        <w:t>2018年“雨后彩虹” 融合教育系列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展演</w:t>
      </w:r>
      <w:r>
        <w:rPr>
          <w:rFonts w:hint="eastAsia" w:ascii="Times New Roman" w:hAnsi="Times New Roman" w:eastAsia="仿宋_GB2312"/>
          <w:sz w:val="32"/>
          <w:szCs w:val="32"/>
        </w:rPr>
        <w:t>活动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（三）主办单位及承办单位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主办单位：广州市少年宫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承办单位：本项目中标供应商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（四）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巡演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主题</w:t>
      </w:r>
    </w:p>
    <w:p>
      <w:pPr>
        <w:adjustRightInd/>
        <w:snapToGrid/>
        <w:spacing w:after="0" w:line="450" w:lineRule="atLeas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2018年“雨后彩虹” 融合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专题展演（暂定）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（五）项目实施时间</w:t>
      </w:r>
    </w:p>
    <w:p>
      <w:pPr>
        <w:adjustRightInd/>
        <w:snapToGrid/>
        <w:spacing w:after="0" w:line="450" w:lineRule="atLeast"/>
        <w:ind w:firstLine="640" w:firstLineChars="200"/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201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8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8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-2018年11月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（六）实施地点</w:t>
      </w:r>
    </w:p>
    <w:p>
      <w:pPr>
        <w:adjustRightInd/>
        <w:snapToGrid/>
        <w:spacing w:after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 xml:space="preserve">     采购人指定的地点</w:t>
      </w:r>
    </w:p>
    <w:p>
      <w:pPr>
        <w:numPr>
          <w:ilvl w:val="0"/>
          <w:numId w:val="2"/>
        </w:numPr>
        <w:adjustRightInd/>
        <w:snapToGrid/>
        <w:spacing w:after="0" w:line="450" w:lineRule="atLeast"/>
        <w:ind w:firstLine="640" w:firstLineChars="200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面向对象及规模</w:t>
      </w:r>
    </w:p>
    <w:p>
      <w:pPr>
        <w:numPr>
          <w:ilvl w:val="0"/>
          <w:numId w:val="0"/>
        </w:numPr>
        <w:adjustRightInd/>
        <w:snapToGrid/>
        <w:spacing w:after="0" w:line="450" w:lineRule="atLeast"/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 xml:space="preserve">       特殊青少年人士及社会人士</w:t>
      </w:r>
    </w:p>
    <w:p>
      <w:pPr>
        <w:numPr>
          <w:ilvl w:val="0"/>
          <w:numId w:val="0"/>
        </w:numPr>
        <w:adjustRightInd/>
        <w:snapToGrid/>
        <w:spacing w:after="0" w:line="450" w:lineRule="atLeast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五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、项目中标单位职责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（一）负责根据采购方需求编制服务方案；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（二）要求做好安全保障措施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（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eastAsia="zh-CN"/>
        </w:rPr>
        <w:t>三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）中标单位须出具相应费用的有效发票，凭发票进行费用结算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。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六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、项目预算上限：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8万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元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七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、支付方式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合同签订之日起7个工作日内，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中标单位须出具相应费用的有效发票，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采购人办理付款手续，向中标单位一次性支付全部费用。</w:t>
      </w:r>
    </w:p>
    <w:p>
      <w:pPr>
        <w:pStyle w:val="3"/>
        <w:widowControl/>
        <w:spacing w:beforeAutospacing="0" w:afterAutospacing="0" w:line="450" w:lineRule="atLeast"/>
        <w:ind w:firstLine="640" w:firstLineChars="20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八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、合格的供应商应具备公告中列明的所有资格要求。</w:t>
      </w:r>
    </w:p>
    <w:p>
      <w:pPr>
        <w:pStyle w:val="3"/>
        <w:widowControl/>
        <w:spacing w:beforeAutospacing="0" w:afterAutospacing="0" w:line="450" w:lineRule="atLeast"/>
        <w:ind w:firstLine="640" w:firstLineChars="20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eastAsia="zh-CN"/>
        </w:rPr>
        <w:t>九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3"/>
        <w:widowControl/>
        <w:spacing w:beforeAutospacing="0" w:afterAutospacing="0" w:line="450" w:lineRule="atLeast"/>
        <w:ind w:firstLine="640" w:firstLineChars="200"/>
        <w:rPr>
          <w:rFonts w:ascii="宋体" w:cs="Times New Roman"/>
          <w:color w:val="000000"/>
          <w:shd w:val="clear" w:color="auto" w:fill="FDFAF5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eastAsia="zh-CN"/>
        </w:rPr>
        <w:t>十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采购方式：询价采购。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outlineLvl w:val="9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十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eastAsia="zh-CN"/>
        </w:rPr>
        <w:t>一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本次询价为整体采购，询价响应供应商报价时须写明单价及总价、服务的详细配置参数，定标后不再增补任何费用。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    十二、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交货期：按合同约定时间。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    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三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保密要求：应严格遵守国家有关保密法律法规，不得泄露与本项目有关的秘密，亦不得将其用于履行本项目之外的其他用途，即便提供给与履行本合同有关的人员，也应该保密并限于履行合同所需范围内使用。造成泄密的，将依法追究有关人员的法律责任。无论本项目是否变更、解除、终止，本条款均持续有效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outlineLvl w:val="9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十四、评审、定标原则：在所有的询价文件符合询价采购文件各项要求的情况下，以最低的报价，优质的服务最优者为成交供应商。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outlineLvl w:val="9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十</w:t>
      </w:r>
      <w:r>
        <w:rPr>
          <w:rFonts w:hint="eastAsia" w:ascii="Times New Roman" w:hAnsi="仿宋_GB2312" w:eastAsia="仿宋_GB2312"/>
          <w:sz w:val="32"/>
          <w:szCs w:val="32"/>
        </w:rPr>
        <w:t>五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、未提供下列文件，投标文件无效，作为废标处理：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jc w:val="left"/>
        <w:textAlignment w:val="auto"/>
        <w:outlineLvl w:val="9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</w:t>
      </w:r>
      <w:r>
        <w:rPr>
          <w:rFonts w:ascii="Times New Roman" w:hAnsi="仿宋_GB2312" w:eastAsia="仿宋_GB2312" w:cs="仿宋_GB231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sz w:val="32"/>
          <w:szCs w:val="32"/>
        </w:rPr>
        <w:t>）授权单位盖公章、法定代表人签名的有效授权委托书；有效的工商营业执照和相关资质证书的复印件；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jc w:val="left"/>
        <w:textAlignment w:val="auto"/>
        <w:outlineLvl w:val="9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</w:t>
      </w:r>
      <w:r>
        <w:rPr>
          <w:rFonts w:ascii="Times New Roman" w:hAnsi="仿宋_GB2312" w:eastAsia="仿宋_GB2312" w:cs="仿宋_GB231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sz w:val="32"/>
          <w:szCs w:val="32"/>
        </w:rPr>
        <w:t>）报价表；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jc w:val="left"/>
        <w:textAlignment w:val="auto"/>
        <w:outlineLvl w:val="9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</w:t>
      </w:r>
      <w:r>
        <w:rPr>
          <w:rFonts w:ascii="Times New Roman" w:hAnsi="仿宋_GB2312" w:eastAsia="仿宋_GB2312" w:cs="仿宋_GB231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sz w:val="32"/>
          <w:szCs w:val="32"/>
        </w:rPr>
        <w:t>）服务方案；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150"/>
        <w:jc w:val="left"/>
        <w:textAlignment w:val="auto"/>
        <w:outlineLvl w:val="9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（4）项目评审要求提交的证明文件；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150"/>
        <w:jc w:val="left"/>
        <w:textAlignment w:val="auto"/>
        <w:outlineLvl w:val="9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（5）报价人认为应提供的其他资料。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outlineLvl w:val="9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/>
          <w:sz w:val="32"/>
          <w:szCs w:val="32"/>
        </w:rPr>
        <w:t>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六</w:t>
      </w:r>
      <w:r>
        <w:rPr>
          <w:rFonts w:hint="eastAsia" w:ascii="Times New Roman" w:hAnsi="仿宋_GB2312" w:eastAsia="仿宋_GB2312"/>
          <w:sz w:val="32"/>
          <w:szCs w:val="32"/>
        </w:rPr>
        <w:t>、</w:t>
      </w:r>
      <w:r>
        <w:rPr>
          <w:rFonts w:hint="eastAsia" w:ascii="Times New Roman" w:hAnsi="仿宋_GB2312" w:eastAsia="仿宋_GB2312" w:cs="仿宋_GB2312"/>
          <w:sz w:val="32"/>
          <w:szCs w:val="32"/>
        </w:rPr>
        <w:t>询价项目报价文件提交的时间及地点：</w:t>
      </w: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时间：</w:t>
      </w: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  <w:t>201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8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7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31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日上午9时</w:t>
      </w: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  <w:t>00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分，逾时作自动放弃。</w:t>
      </w: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地点：广州市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lang w:eastAsia="zh-CN"/>
        </w:rPr>
        <w:t>天河区华就路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273号第二少年宫212室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。</w:t>
      </w: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项目咨询电话：</w:t>
      </w: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  <w:t>020-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37857455</w:t>
      </w:r>
    </w:p>
    <w:p>
      <w:pPr>
        <w:rPr>
          <w:rFonts w:ascii="Times New Roman" w:hAnsi="仿宋_GB2312" w:eastAsia="仿宋_GB2312" w:cs="仿宋_GB2312"/>
          <w:color w:val="auto"/>
          <w:sz w:val="32"/>
          <w:szCs w:val="32"/>
        </w:rPr>
      </w:pP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  <w:t> 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联系人：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lang w:eastAsia="zh-CN"/>
        </w:rPr>
        <w:t>许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老师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outlineLvl w:val="9"/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十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lang w:eastAsia="zh-CN"/>
        </w:rPr>
        <w:t>七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、开标时间: 201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8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7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31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日下午17时后，评审小组按评审、定标原则选定1名中标人。</w:t>
      </w:r>
    </w:p>
    <w:p>
      <w:pPr>
        <w:pStyle w:val="7"/>
        <w:ind w:firstLine="640"/>
        <w:rPr>
          <w:rFonts w:ascii="Times New Roman" w:hAnsi="仿宋_GB2312" w:eastAsia="仿宋_GB2312" w:cs="仿宋_GB2312"/>
          <w:color w:val="auto"/>
          <w:sz w:val="32"/>
          <w:szCs w:val="32"/>
        </w:rPr>
      </w:pPr>
    </w:p>
    <w:p>
      <w:pPr>
        <w:pStyle w:val="7"/>
        <w:ind w:firstLine="640"/>
        <w:rPr>
          <w:rFonts w:ascii="Times New Roman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BFFCD"/>
    <w:multiLevelType w:val="singleLevel"/>
    <w:tmpl w:val="530BFFCD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44695C"/>
    <w:multiLevelType w:val="singleLevel"/>
    <w:tmpl w:val="5A4469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17902"/>
    <w:rsid w:val="04D97D9C"/>
    <w:rsid w:val="0DD15E3E"/>
    <w:rsid w:val="12541C5F"/>
    <w:rsid w:val="1E263021"/>
    <w:rsid w:val="21C17902"/>
    <w:rsid w:val="314B1C3A"/>
    <w:rsid w:val="32853743"/>
    <w:rsid w:val="3531661F"/>
    <w:rsid w:val="37062BCA"/>
    <w:rsid w:val="379C733E"/>
    <w:rsid w:val="37FD345A"/>
    <w:rsid w:val="3A725B0E"/>
    <w:rsid w:val="424B0A88"/>
    <w:rsid w:val="47A76474"/>
    <w:rsid w:val="48201971"/>
    <w:rsid w:val="48B4357A"/>
    <w:rsid w:val="494F72E4"/>
    <w:rsid w:val="49781A31"/>
    <w:rsid w:val="4EAE2599"/>
    <w:rsid w:val="55581E08"/>
    <w:rsid w:val="57F440AF"/>
    <w:rsid w:val="60212FF6"/>
    <w:rsid w:val="642521F5"/>
    <w:rsid w:val="69FB2CB9"/>
    <w:rsid w:val="6BA2703A"/>
    <w:rsid w:val="6C2323D2"/>
    <w:rsid w:val="71877919"/>
    <w:rsid w:val="754D691B"/>
    <w:rsid w:val="7ECE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 w:val="0"/>
      <w:adjustRightInd/>
      <w:snapToGrid/>
      <w:spacing w:beforeAutospacing="1" w:after="0" w:afterAutospacing="1"/>
    </w:pPr>
    <w:rPr>
      <w:rFonts w:ascii="Calibri" w:hAnsi="Calibri" w:eastAsia="宋体" w:cs="Calibri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2017-07-13T09:07:00Z</dcterms:created>
  <dc:creator>zong</dc:creator>
  <cp:lastModifiedBy>许宁</cp:lastModifiedBy>
  <cp:lastPrinted>2017-09-28T11:40:00Z</cp:lastPrinted>
  <dcterms:modified xsi:type="dcterms:W3CDTF">2018-07-26T05:40:31Z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