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广州市少年宫关于“雨后彩虹”融合教育专题展演活动舞蹈创作及编排执行服务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采购项目进行询价，请合格的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供应商予以报价。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广州市少年宫关于“雨后彩虹”融合教育专题展演活动舞蹈创作及编排执行服务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p>
      <w:pPr>
        <w:pStyle w:val="2"/>
        <w:widowControl/>
        <w:spacing w:beforeAutospacing="0" w:afterAutospacing="0" w:line="450" w:lineRule="atLeas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展演节目编排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60-80</w:t>
      </w:r>
      <w:r>
        <w:rPr>
          <w:rFonts w:hint="eastAsia" w:ascii="仿宋_GB2312" w:hAnsi="仿宋_GB2312" w:eastAsia="仿宋_GB2312" w:cs="仿宋_GB2312"/>
          <w:sz w:val="32"/>
          <w:szCs w:val="32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50" w:lineRule="atLeast"/>
        <w:ind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融合现代舞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创编舞蹈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展演节目创作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50" w:lineRule="atLeast"/>
        <w:ind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荐一名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专业能力全面，有为特殊儿童服务经验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人士担任融合现代舞团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艺术监制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adjustRightInd/>
        <w:snapToGrid/>
        <w:spacing w:after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四、项目基本情况及需求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(一)活动名称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广州市少年宫“雨后彩虹”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融合教育专题展演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(二)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活动目的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为更好的贯彻党的十九大报告中“办好特殊教育，努力让每个孩子都能享有公平而有质量的教育”，配合中国青年报“强国一代有我在”主题活动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/>
          <w:sz w:val="32"/>
          <w:szCs w:val="32"/>
        </w:rPr>
        <w:t>2018年“雨后彩虹” 融合教育系列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展演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（三）主办单位及承办单位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主办单位：广州市少年宫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承办单位：本项目中标供应商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（四）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巡演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主题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2018年“雨后彩虹” 融合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专题展演（暂定）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（五）项目实施时间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-2018年11月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（六）实施地点</w:t>
      </w:r>
    </w:p>
    <w:p>
      <w:pPr>
        <w:adjustRightInd/>
        <w:snapToGrid/>
        <w:spacing w:after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采购人指定的地点</w:t>
      </w:r>
    </w:p>
    <w:p>
      <w:pPr>
        <w:numPr>
          <w:ilvl w:val="0"/>
          <w:numId w:val="0"/>
        </w:numPr>
        <w:adjustRightInd/>
        <w:snapToGrid/>
        <w:spacing w:after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6万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十四、评审、定标原则：在所有的询价文件符合询价采购文件各项要求的情况下，以最低的报价，优质的服务最优者为成交供应商。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/>
          <w:sz w:val="32"/>
          <w:szCs w:val="32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、未提供下列文件，投标文件无效，作为废标处理：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）授权单位盖公章、法定代表人签名的有效授权委托书；有效的工商营业执照和相关资质证书的复印件；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）报价表；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）服务方案；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（4）项目评审要求提交的证明文件；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（5）报价人认为应提供的其他资料。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color w:val="auto"/>
          <w:sz w:val="32"/>
          <w:szCs w:val="32"/>
        </w:rPr>
        <w:t>询价</w:t>
      </w:r>
      <w:r>
        <w:rPr>
          <w:rFonts w:hint="eastAsia" w:ascii="Times New Roman" w:hAnsi="仿宋_GB2312" w:eastAsia="仿宋_GB2312" w:cs="仿宋_GB2312"/>
          <w:sz w:val="32"/>
          <w:szCs w:val="32"/>
        </w:rPr>
        <w:t>项目报价文件提交的时间及地点：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分，逾时作自动放弃。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37857455</w:t>
      </w:r>
    </w:p>
    <w:p>
      <w:pPr>
        <w:rPr>
          <w:rFonts w:ascii="Times New Roman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老师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、开标时间: 201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日下午17时后，评审小组按评审、定标原则选定1名中标人。</w:t>
      </w:r>
    </w:p>
    <w:p>
      <w:pPr>
        <w:pStyle w:val="6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p>
      <w:pPr>
        <w:pStyle w:val="6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695C"/>
    <w:multiLevelType w:val="singleLevel"/>
    <w:tmpl w:val="5A4469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0413683"/>
    <w:rsid w:val="04D97D9C"/>
    <w:rsid w:val="0DD15E3E"/>
    <w:rsid w:val="1702745A"/>
    <w:rsid w:val="17E7438B"/>
    <w:rsid w:val="1E263021"/>
    <w:rsid w:val="21C17902"/>
    <w:rsid w:val="3531661F"/>
    <w:rsid w:val="37062BCA"/>
    <w:rsid w:val="379C733E"/>
    <w:rsid w:val="37FD345A"/>
    <w:rsid w:val="3A725B0E"/>
    <w:rsid w:val="424B0A88"/>
    <w:rsid w:val="47A76474"/>
    <w:rsid w:val="48201971"/>
    <w:rsid w:val="48B4357A"/>
    <w:rsid w:val="494F72E4"/>
    <w:rsid w:val="49781A31"/>
    <w:rsid w:val="4EAE2599"/>
    <w:rsid w:val="55581E08"/>
    <w:rsid w:val="60212FF6"/>
    <w:rsid w:val="642521F5"/>
    <w:rsid w:val="69FB2CB9"/>
    <w:rsid w:val="6BA2703A"/>
    <w:rsid w:val="71877919"/>
    <w:rsid w:val="754D691B"/>
    <w:rsid w:val="7E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许宁</cp:lastModifiedBy>
  <cp:lastPrinted>2017-09-28T11:40:00Z</cp:lastPrinted>
  <dcterms:modified xsi:type="dcterms:W3CDTF">2018-07-26T05:39:15Z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