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450" w:lineRule="atLeast"/>
        <w:jc w:val="center"/>
        <w:rPr>
          <w:rFonts w:ascii="方正小标宋简体" w:hAnsi="方正小标宋简体" w:eastAsia="方正小标宋简体" w:cs="Times New Roman"/>
          <w:kern w:val="2"/>
          <w:sz w:val="44"/>
          <w:szCs w:val="44"/>
        </w:rPr>
      </w:pPr>
      <w:bookmarkStart w:id="0" w:name="_GoBack"/>
      <w:bookmarkEnd w:id="0"/>
      <w:r>
        <w:rPr>
          <w:rFonts w:hint="eastAsia" w:ascii="方正小标宋简体" w:hAnsi="方正小标宋简体" w:eastAsia="方正小标宋简体" w:cs="方正小标宋简体"/>
          <w:kern w:val="2"/>
          <w:sz w:val="44"/>
          <w:szCs w:val="44"/>
        </w:rPr>
        <w:t>询价通知书</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7"/>
        <w:widowControl/>
        <w:spacing w:beforeAutospacing="0" w:afterAutospacing="0" w:line="450" w:lineRule="atLeast"/>
        <w:ind w:firstLine="960" w:firstLineChars="3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本单位就“广州市少年宫体育培训部2018年暑假外出参演参赛委托服务项目”网上询价进行询价，请合格的供应商予以报价。</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GZSSNG-WSXJ-TYB-201</w:t>
      </w:r>
      <w:r>
        <w:rPr>
          <w:rFonts w:hint="eastAsia" w:ascii="Times New Roman" w:hAnsi="仿宋_GB2312" w:eastAsia="仿宋_GB2312" w:cs="Times New Roman"/>
          <w:kern w:val="2"/>
          <w:sz w:val="32"/>
          <w:szCs w:val="32"/>
        </w:rPr>
        <w:t>8</w:t>
      </w:r>
      <w:r>
        <w:rPr>
          <w:rFonts w:ascii="Times New Roman" w:hAnsi="仿宋_GB2312" w:eastAsia="仿宋_GB2312" w:cs="Times New Roman"/>
          <w:kern w:val="2"/>
          <w:sz w:val="32"/>
          <w:szCs w:val="32"/>
        </w:rPr>
        <w:t>-00</w:t>
      </w:r>
      <w:r>
        <w:rPr>
          <w:rFonts w:hint="eastAsia" w:ascii="Times New Roman" w:hAnsi="仿宋_GB2312" w:eastAsia="仿宋_GB2312" w:cs="Times New Roman"/>
          <w:kern w:val="2"/>
          <w:sz w:val="32"/>
          <w:szCs w:val="32"/>
        </w:rPr>
        <w:t>1</w:t>
      </w:r>
    </w:p>
    <w:p>
      <w:pPr>
        <w:pStyle w:val="7"/>
        <w:widowControl/>
        <w:spacing w:beforeAutospacing="0" w:afterAutospacing="0" w:line="450" w:lineRule="atLeast"/>
        <w:rPr>
          <w:rFonts w:ascii="Times New Roman" w:hAnsi="仿宋_GB2312" w:eastAsia="仿宋_GB2312" w:cs="仿宋_GB2312"/>
          <w:kern w:val="2"/>
          <w:sz w:val="32"/>
          <w:szCs w:val="32"/>
        </w:rPr>
      </w:pP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、参赛项目A名称：</w:t>
      </w:r>
    </w:p>
    <w:p>
      <w:pPr>
        <w:pStyle w:val="7"/>
        <w:widowControl/>
        <w:spacing w:beforeAutospacing="0" w:afterAutospacing="0" w:line="450" w:lineRule="atLeast"/>
        <w:ind w:firstLine="960" w:firstLineChars="300"/>
        <w:rPr>
          <w:rFonts w:ascii="仿宋" w:hAnsi="仿宋" w:eastAsia="仿宋"/>
          <w:sz w:val="32"/>
          <w:szCs w:val="32"/>
        </w:rPr>
      </w:pPr>
      <w:r>
        <w:rPr>
          <w:rFonts w:hint="eastAsia" w:ascii="Times New Roman" w:hAnsi="仿宋_GB2312" w:eastAsia="仿宋_GB2312" w:cs="仿宋_GB2312"/>
          <w:kern w:val="2"/>
          <w:sz w:val="32"/>
          <w:szCs w:val="32"/>
        </w:rPr>
        <w:t>广州市少年宫体育培训部2018年7月23日-27日在肇庆市体育中心体育馆举行广东省传统武术套路（传统项目）锦标赛的食宿及交通费服务”</w:t>
      </w:r>
      <w:r>
        <w:rPr>
          <w:rFonts w:hint="eastAsia" w:ascii="仿宋" w:hAnsi="仿宋" w:eastAsia="仿宋"/>
          <w:sz w:val="32"/>
          <w:szCs w:val="32"/>
        </w:rPr>
        <w:t>询价项目</w:t>
      </w:r>
    </w:p>
    <w:p>
      <w:pPr>
        <w:pStyle w:val="7"/>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参赛项目A项目服务内容：</w:t>
      </w:r>
    </w:p>
    <w:tbl>
      <w:tblPr>
        <w:tblStyle w:val="10"/>
        <w:tblW w:w="9192" w:type="dxa"/>
        <w:tblCellSpacing w:w="0" w:type="dxa"/>
        <w:tblInd w:w="0" w:type="dxa"/>
        <w:tblLayout w:type="fixed"/>
        <w:tblCellMar>
          <w:top w:w="0" w:type="dxa"/>
          <w:left w:w="0" w:type="dxa"/>
          <w:bottom w:w="0" w:type="dxa"/>
          <w:right w:w="0" w:type="dxa"/>
        </w:tblCellMar>
      </w:tblPr>
      <w:tblGrid>
        <w:gridCol w:w="2247"/>
        <w:gridCol w:w="1701"/>
        <w:gridCol w:w="5244"/>
      </w:tblGrid>
      <w:tr>
        <w:tblPrEx>
          <w:tblLayout w:type="fixed"/>
          <w:tblCellMar>
            <w:top w:w="0" w:type="dxa"/>
            <w:left w:w="0" w:type="dxa"/>
            <w:bottom w:w="0" w:type="dxa"/>
            <w:right w:w="0" w:type="dxa"/>
          </w:tblCellMar>
        </w:tblPrEx>
        <w:trPr>
          <w:tblCellSpacing w:w="0" w:type="dxa"/>
        </w:trPr>
        <w:tc>
          <w:tcPr>
            <w:tcW w:w="2247"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项目名称</w:t>
            </w:r>
          </w:p>
        </w:tc>
        <w:tc>
          <w:tcPr>
            <w:tcW w:w="1701"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数量及单位</w:t>
            </w:r>
          </w:p>
        </w:tc>
        <w:tc>
          <w:tcPr>
            <w:tcW w:w="524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规格技术要求</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住宿费</w:t>
            </w:r>
          </w:p>
        </w:tc>
        <w:tc>
          <w:tcPr>
            <w:tcW w:w="1701" w:type="dxa"/>
            <w:vMerge w:val="restart"/>
            <w:tcBorders>
              <w:top w:val="single" w:color="auto" w:sz="4" w:space="0"/>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6人</w:t>
            </w: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含6人住宿4晚</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餐费</w:t>
            </w:r>
          </w:p>
        </w:tc>
        <w:tc>
          <w:tcPr>
            <w:tcW w:w="1701" w:type="dxa"/>
            <w:vMerge w:val="continue"/>
            <w:tcBorders>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不低于100元每人每天，6人共5天</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交通费</w:t>
            </w:r>
          </w:p>
        </w:tc>
        <w:tc>
          <w:tcPr>
            <w:tcW w:w="1701" w:type="dxa"/>
            <w:vMerge w:val="continue"/>
            <w:tcBorders>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不低于80元每人每天，6人共5天</w:t>
            </w:r>
          </w:p>
        </w:tc>
      </w:tr>
    </w:tbl>
    <w:p>
      <w:pPr>
        <w:pStyle w:val="7"/>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参赛项目B名称：</w:t>
      </w:r>
    </w:p>
    <w:p>
      <w:pPr>
        <w:pStyle w:val="7"/>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广州市少年宫体育培训部2018年7月27日-29日在中山市古镇镇体育馆举行广东省第十一届武术精英大赛的食宿及交通费服务”</w:t>
      </w:r>
    </w:p>
    <w:p>
      <w:pPr>
        <w:pStyle w:val="7"/>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参赛项目B项目服务内容：</w:t>
      </w:r>
    </w:p>
    <w:tbl>
      <w:tblPr>
        <w:tblStyle w:val="10"/>
        <w:tblW w:w="9192" w:type="dxa"/>
        <w:tblCellSpacing w:w="0" w:type="dxa"/>
        <w:tblInd w:w="0" w:type="dxa"/>
        <w:tblLayout w:type="fixed"/>
        <w:tblCellMar>
          <w:top w:w="0" w:type="dxa"/>
          <w:left w:w="0" w:type="dxa"/>
          <w:bottom w:w="0" w:type="dxa"/>
          <w:right w:w="0" w:type="dxa"/>
        </w:tblCellMar>
      </w:tblPr>
      <w:tblGrid>
        <w:gridCol w:w="2247"/>
        <w:gridCol w:w="1701"/>
        <w:gridCol w:w="5244"/>
      </w:tblGrid>
      <w:tr>
        <w:tblPrEx>
          <w:tblLayout w:type="fixed"/>
          <w:tblCellMar>
            <w:top w:w="0" w:type="dxa"/>
            <w:left w:w="0" w:type="dxa"/>
            <w:bottom w:w="0" w:type="dxa"/>
            <w:right w:w="0" w:type="dxa"/>
          </w:tblCellMar>
        </w:tblPrEx>
        <w:trPr>
          <w:tblCellSpacing w:w="0" w:type="dxa"/>
        </w:trPr>
        <w:tc>
          <w:tcPr>
            <w:tcW w:w="2247"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项目名称</w:t>
            </w:r>
          </w:p>
        </w:tc>
        <w:tc>
          <w:tcPr>
            <w:tcW w:w="1701"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数量及单位</w:t>
            </w:r>
          </w:p>
        </w:tc>
        <w:tc>
          <w:tcPr>
            <w:tcW w:w="524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规格技术要求</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住宿费</w:t>
            </w:r>
          </w:p>
        </w:tc>
        <w:tc>
          <w:tcPr>
            <w:tcW w:w="1701" w:type="dxa"/>
            <w:vMerge w:val="restart"/>
            <w:tcBorders>
              <w:top w:val="single" w:color="auto" w:sz="4" w:space="0"/>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6人</w:t>
            </w: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含6人住宿3晚</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餐费</w:t>
            </w:r>
          </w:p>
        </w:tc>
        <w:tc>
          <w:tcPr>
            <w:tcW w:w="1701" w:type="dxa"/>
            <w:vMerge w:val="continue"/>
            <w:tcBorders>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不低于100元每人每天，6人共3天</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交通费</w:t>
            </w:r>
          </w:p>
        </w:tc>
        <w:tc>
          <w:tcPr>
            <w:tcW w:w="1701" w:type="dxa"/>
            <w:vMerge w:val="continue"/>
            <w:tcBorders>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不低于80元每人每天，6人共3天</w:t>
            </w:r>
          </w:p>
        </w:tc>
      </w:tr>
    </w:tbl>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参赛项目C名称：</w:t>
      </w:r>
    </w:p>
    <w:p>
      <w:pPr>
        <w:pStyle w:val="7"/>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广州市少年宫体育培训部2018年8月22日-24日在番禺区星海少年宫举行全国青少年宫系统武术套路总决赛的食宿及交通费服务</w:t>
      </w:r>
    </w:p>
    <w:p>
      <w:pPr>
        <w:pStyle w:val="7"/>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参赛项目C项目服务内容：</w:t>
      </w:r>
    </w:p>
    <w:tbl>
      <w:tblPr>
        <w:tblStyle w:val="10"/>
        <w:tblW w:w="9192" w:type="dxa"/>
        <w:tblCellSpacing w:w="0" w:type="dxa"/>
        <w:tblInd w:w="0" w:type="dxa"/>
        <w:tblLayout w:type="fixed"/>
        <w:tblCellMar>
          <w:top w:w="0" w:type="dxa"/>
          <w:left w:w="0" w:type="dxa"/>
          <w:bottom w:w="0" w:type="dxa"/>
          <w:right w:w="0" w:type="dxa"/>
        </w:tblCellMar>
      </w:tblPr>
      <w:tblGrid>
        <w:gridCol w:w="2247"/>
        <w:gridCol w:w="1701"/>
        <w:gridCol w:w="5244"/>
      </w:tblGrid>
      <w:tr>
        <w:tblPrEx>
          <w:tblLayout w:type="fixed"/>
          <w:tblCellMar>
            <w:top w:w="0" w:type="dxa"/>
            <w:left w:w="0" w:type="dxa"/>
            <w:bottom w:w="0" w:type="dxa"/>
            <w:right w:w="0" w:type="dxa"/>
          </w:tblCellMar>
        </w:tblPrEx>
        <w:trPr>
          <w:tblCellSpacing w:w="0" w:type="dxa"/>
        </w:trPr>
        <w:tc>
          <w:tcPr>
            <w:tcW w:w="2247"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项目名称</w:t>
            </w:r>
          </w:p>
        </w:tc>
        <w:tc>
          <w:tcPr>
            <w:tcW w:w="1701"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数量及单位</w:t>
            </w:r>
          </w:p>
        </w:tc>
        <w:tc>
          <w:tcPr>
            <w:tcW w:w="524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规格技术要求</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住宿费</w:t>
            </w:r>
          </w:p>
        </w:tc>
        <w:tc>
          <w:tcPr>
            <w:tcW w:w="1701" w:type="dxa"/>
            <w:vMerge w:val="restart"/>
            <w:tcBorders>
              <w:top w:val="single" w:color="auto" w:sz="4" w:space="0"/>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6人</w:t>
            </w: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含6人住宿3晚</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餐费</w:t>
            </w:r>
          </w:p>
        </w:tc>
        <w:tc>
          <w:tcPr>
            <w:tcW w:w="1701" w:type="dxa"/>
            <w:vMerge w:val="continue"/>
            <w:tcBorders>
              <w:left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不低于100元每人每天，6人共4天</w:t>
            </w:r>
          </w:p>
        </w:tc>
      </w:tr>
      <w:tr>
        <w:tblPrEx>
          <w:tblLayout w:type="fixed"/>
          <w:tblCellMar>
            <w:top w:w="0" w:type="dxa"/>
            <w:left w:w="0" w:type="dxa"/>
            <w:bottom w:w="0" w:type="dxa"/>
            <w:right w:w="0" w:type="dxa"/>
          </w:tblCellMar>
        </w:tblPrEx>
        <w:trPr>
          <w:tblCellSpacing w:w="0" w:type="dxa"/>
        </w:trPr>
        <w:tc>
          <w:tcPr>
            <w:tcW w:w="2247"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交通费</w:t>
            </w:r>
          </w:p>
        </w:tc>
        <w:tc>
          <w:tcPr>
            <w:tcW w:w="1701" w:type="dxa"/>
            <w:vMerge w:val="continue"/>
            <w:tcBorders>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kern w:val="2"/>
                <w:sz w:val="32"/>
                <w:szCs w:val="32"/>
              </w:rPr>
            </w:pPr>
          </w:p>
        </w:tc>
        <w:tc>
          <w:tcPr>
            <w:tcW w:w="5244" w:type="dxa"/>
            <w:tcBorders>
              <w:top w:val="single" w:color="auto" w:sz="4" w:space="0"/>
              <w:left w:val="single" w:color="auto" w:sz="4" w:space="0"/>
              <w:bottom w:val="single" w:color="auto" w:sz="4" w:space="0"/>
              <w:right w:val="single" w:color="auto" w:sz="4" w:space="0"/>
            </w:tcBorders>
            <w:shd w:val="clear" w:color="auto" w:fill="FDFAF5"/>
            <w:tcMar>
              <w:left w:w="105" w:type="dxa"/>
              <w:right w:w="105" w:type="dxa"/>
            </w:tcMar>
            <w:vAlign w:val="center"/>
          </w:tcPr>
          <w:p>
            <w:pPr>
              <w:pStyle w:val="7"/>
              <w:widowControl/>
              <w:spacing w:beforeAutospacing="0" w:afterAutospacing="0" w:line="450" w:lineRule="atLeast"/>
              <w:jc w:val="center"/>
              <w:rPr>
                <w:rFonts w:ascii="Times New Roman" w:hAnsi="仿宋_GB2312" w:eastAsia="仿宋_GB2312" w:cs="Times New Roman"/>
                <w:color w:val="000000" w:themeColor="text1"/>
                <w:kern w:val="2"/>
                <w:sz w:val="32"/>
                <w:szCs w:val="32"/>
              </w:rPr>
            </w:pPr>
            <w:r>
              <w:rPr>
                <w:rFonts w:hint="eastAsia" w:ascii="Times New Roman" w:hAnsi="仿宋_GB2312" w:eastAsia="仿宋_GB2312" w:cs="Times New Roman"/>
                <w:color w:val="000000" w:themeColor="text1"/>
                <w:kern w:val="2"/>
                <w:sz w:val="32"/>
                <w:szCs w:val="32"/>
              </w:rPr>
              <w:t>不低于80元每人每天，6人共4天</w:t>
            </w:r>
          </w:p>
        </w:tc>
      </w:tr>
    </w:tbl>
    <w:p>
      <w:pPr>
        <w:pStyle w:val="7"/>
        <w:widowControl/>
        <w:spacing w:beforeAutospacing="0" w:afterAutospacing="0" w:line="450" w:lineRule="atLeast"/>
        <w:rPr>
          <w:rFonts w:ascii="Times New Roman" w:hAnsi="仿宋_GB2312" w:eastAsia="仿宋_GB2312" w:cs="Times New Roman"/>
          <w:kern w:val="2"/>
          <w:sz w:val="32"/>
          <w:szCs w:val="32"/>
        </w:rPr>
      </w:pP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、项目预算上限：</w:t>
      </w:r>
      <w:r>
        <w:rPr>
          <w:rFonts w:hint="eastAsia" w:ascii="Times New Roman" w:hAnsi="仿宋_GB2312" w:eastAsia="仿宋_GB2312" w:cs="Times New Roman"/>
          <w:kern w:val="2"/>
          <w:sz w:val="32"/>
          <w:szCs w:val="32"/>
        </w:rPr>
        <w:t>40240元。</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、合格的供应商应具备公告中列明的所有资格要求。</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5</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6、采购方式：询价采购。</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7、本次询价为整体委托服务采购,询价响应供应商报价应对所有委托服务进行报价，不予许只对部分服务报价。</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8、报价时须在报价表上写明委托服务的分项价格及报价总价。                                                                                          </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9、供货地点：询价成交后，须在指定的时间和地点为教职员工服务。</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0、报价方必须提供项目的内容说明及售后服务承诺。</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1、报价方不得虚报各项技术指标，所提供的服务项目若不能符合技术要求，成交供应商必须接受全额退还费用，并承担由此给采购单位造成的</w:t>
      </w:r>
      <w:r>
        <w:fldChar w:fldCharType="begin"/>
      </w:r>
      <w:r>
        <w:instrText xml:space="preserve"> HYPERLINK "http://www.lwlm.com/Economy/" \t "http://www.lwlm.com/zixunxin/201211/_blank" </w:instrText>
      </w:r>
      <w:r>
        <w:fldChar w:fldCharType="separate"/>
      </w:r>
      <w:r>
        <w:rPr>
          <w:rFonts w:hint="eastAsia" w:ascii="Times New Roman" w:hAnsi="仿宋_GB2312" w:eastAsia="仿宋_GB2312" w:cs="Times New Roman"/>
          <w:kern w:val="2"/>
          <w:sz w:val="32"/>
          <w:szCs w:val="32"/>
        </w:rPr>
        <w:t>经济</w:t>
      </w:r>
      <w:r>
        <w:rPr>
          <w:rFonts w:hint="eastAsia" w:ascii="Times New Roman" w:hAnsi="仿宋_GB2312" w:eastAsia="仿宋_GB2312" w:cs="Times New Roman"/>
          <w:kern w:val="2"/>
          <w:sz w:val="32"/>
          <w:szCs w:val="32"/>
        </w:rPr>
        <w:fldChar w:fldCharType="end"/>
      </w:r>
      <w:r>
        <w:rPr>
          <w:rFonts w:hint="eastAsia" w:ascii="Times New Roman" w:hAnsi="仿宋_GB2312" w:eastAsia="仿宋_GB2312" w:cs="Times New Roman"/>
          <w:kern w:val="2"/>
          <w:sz w:val="32"/>
          <w:szCs w:val="32"/>
        </w:rPr>
        <w:t>损失。</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2、评审、定标原则：在所有的询价文件符合或高于询价采购文件各项要求的情况下，报价最低者为成交供应商；在此基础上报价若相同的，以售后服务承诺最优者为成交供应商。</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3、验收方法及标准</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）、验收依据：询价通知书、询价报价、询价响应文件、厂家货物技术标准说明及国家有关的质量标准规定，均为验收依据。</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Times New Roman"/>
          <w:kern w:val="2"/>
          <w:sz w:val="32"/>
          <w:szCs w:val="32"/>
        </w:rPr>
        <w:t>）、委托服务验收：委托服务费用清单（委托服务完成后2个工作日内）。</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 xml:space="preserve"> 1</w:t>
      </w:r>
      <w:r>
        <w:rPr>
          <w:rFonts w:hint="eastAsia" w:ascii="Times New Roman" w:hAnsi="仿宋_GB2312" w:eastAsia="仿宋_GB2312" w:cs="Times New Roman"/>
          <w:kern w:val="2"/>
          <w:sz w:val="32"/>
          <w:szCs w:val="32"/>
        </w:rPr>
        <w:t>4、出现下列情况之一者，投标文件无效，作为废标处理：</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）未提供营业执照有效复印件（加盖单位公章）。</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Times New Roman"/>
          <w:kern w:val="2"/>
          <w:sz w:val="32"/>
          <w:szCs w:val="32"/>
        </w:rPr>
        <w:t>）询价响应文件字迹模糊不清（包括提交的各类复印件、图纸）。</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w:t>
      </w:r>
      <w:r>
        <w:rPr>
          <w:rFonts w:ascii="Times New Roman" w:hAnsi="仿宋_GB2312" w:eastAsia="仿宋_GB2312" w:cs="Times New Roman"/>
          <w:kern w:val="2"/>
          <w:sz w:val="32"/>
          <w:szCs w:val="32"/>
        </w:rPr>
        <w:t>3</w:t>
      </w:r>
      <w:r>
        <w:rPr>
          <w:rFonts w:hint="eastAsia" w:ascii="Times New Roman" w:hAnsi="仿宋_GB2312" w:eastAsia="仿宋_GB2312" w:cs="Times New Roman"/>
          <w:kern w:val="2"/>
          <w:sz w:val="32"/>
          <w:szCs w:val="32"/>
        </w:rPr>
        <w:t>）未提供报价书(加盖单位公章)。</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w:t>
      </w:r>
      <w:r>
        <w:rPr>
          <w:rFonts w:hint="eastAsia" w:ascii="Times New Roman" w:hAnsi="仿宋_GB2312" w:eastAsia="仿宋_GB2312" w:cs="Times New Roman"/>
          <w:kern w:val="2"/>
          <w:sz w:val="32"/>
          <w:szCs w:val="32"/>
        </w:rPr>
        <w:t>5、询价项目报价文件提交的时间及地点：</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时间：</w:t>
      </w:r>
      <w:r>
        <w:rPr>
          <w:rFonts w:ascii="Times New Roman" w:hAnsi="仿宋_GB2312" w:eastAsia="仿宋_GB2312" w:cs="Times New Roman"/>
          <w:kern w:val="2"/>
          <w:sz w:val="32"/>
          <w:szCs w:val="32"/>
        </w:rPr>
        <w:t>201</w:t>
      </w:r>
      <w:r>
        <w:rPr>
          <w:rFonts w:hint="eastAsia" w:ascii="Times New Roman" w:hAnsi="仿宋_GB2312" w:eastAsia="仿宋_GB2312" w:cs="Times New Roman"/>
          <w:kern w:val="2"/>
          <w:sz w:val="32"/>
          <w:szCs w:val="32"/>
        </w:rPr>
        <w:t>8年7月10日下午17时</w:t>
      </w:r>
      <w:r>
        <w:rPr>
          <w:rFonts w:ascii="Times New Roman" w:hAnsi="仿宋_GB2312" w:eastAsia="仿宋_GB2312" w:cs="Times New Roman"/>
          <w:kern w:val="2"/>
          <w:sz w:val="32"/>
          <w:szCs w:val="32"/>
        </w:rPr>
        <w:t>00</w:t>
      </w:r>
      <w:r>
        <w:rPr>
          <w:rFonts w:hint="eastAsia" w:ascii="Times New Roman" w:hAnsi="仿宋_GB2312" w:eastAsia="仿宋_GB2312" w:cs="Times New Roman"/>
          <w:kern w:val="2"/>
          <w:sz w:val="32"/>
          <w:szCs w:val="32"/>
        </w:rPr>
        <w:t>分，逾时作自动放弃。</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地点：广州市越秀区东风西路</w:t>
      </w:r>
      <w:r>
        <w:rPr>
          <w:rFonts w:ascii="Times New Roman" w:hAnsi="仿宋_GB2312" w:eastAsia="仿宋_GB2312" w:cs="Times New Roman"/>
          <w:kern w:val="2"/>
          <w:sz w:val="32"/>
          <w:szCs w:val="32"/>
        </w:rPr>
        <w:t>167</w:t>
      </w:r>
      <w:r>
        <w:rPr>
          <w:rFonts w:hint="eastAsia" w:ascii="Times New Roman" w:hAnsi="仿宋_GB2312" w:eastAsia="仿宋_GB2312" w:cs="Times New Roman"/>
          <w:kern w:val="2"/>
          <w:sz w:val="32"/>
          <w:szCs w:val="32"/>
        </w:rPr>
        <w:t>号广州市少年宫体育楼</w:t>
      </w:r>
      <w:r>
        <w:rPr>
          <w:rFonts w:ascii="Times New Roman" w:hAnsi="仿宋_GB2312" w:eastAsia="仿宋_GB2312" w:cs="Times New Roman"/>
          <w:kern w:val="2"/>
          <w:sz w:val="32"/>
          <w:szCs w:val="32"/>
        </w:rPr>
        <w:t>2</w:t>
      </w:r>
      <w:r>
        <w:rPr>
          <w:rFonts w:hint="eastAsia" w:ascii="Times New Roman" w:hAnsi="仿宋_GB2312" w:eastAsia="仿宋_GB2312" w:cs="Times New Roman"/>
          <w:kern w:val="2"/>
          <w:sz w:val="32"/>
          <w:szCs w:val="32"/>
        </w:rPr>
        <w:t>楼。</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项目咨询电话：</w:t>
      </w:r>
      <w:r>
        <w:rPr>
          <w:rFonts w:ascii="Times New Roman" w:hAnsi="仿宋_GB2312" w:eastAsia="仿宋_GB2312" w:cs="Times New Roman"/>
          <w:kern w:val="2"/>
          <w:sz w:val="32"/>
          <w:szCs w:val="32"/>
        </w:rPr>
        <w:t>020-81363929  </w:t>
      </w:r>
      <w:r>
        <w:rPr>
          <w:rFonts w:hint="eastAsia" w:ascii="Times New Roman" w:hAnsi="仿宋_GB2312" w:eastAsia="仿宋_GB2312" w:cs="Times New Roman"/>
          <w:kern w:val="2"/>
          <w:sz w:val="32"/>
          <w:szCs w:val="32"/>
        </w:rPr>
        <w:t>联系人：高老师</w:t>
      </w:r>
    </w:p>
    <w:p>
      <w:pPr>
        <w:pStyle w:val="7"/>
        <w:widowControl/>
        <w:spacing w:beforeAutospacing="0" w:afterAutospacing="0" w:line="450" w:lineRule="atLeast"/>
        <w:rPr>
          <w:rFonts w:ascii="Times New Roman" w:hAnsi="仿宋_GB2312" w:eastAsia="仿宋_GB2312" w:cs="Times New Roman"/>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6D"/>
    <w:rsid w:val="00073274"/>
    <w:rsid w:val="000E353E"/>
    <w:rsid w:val="000F2625"/>
    <w:rsid w:val="00124A53"/>
    <w:rsid w:val="00127B2C"/>
    <w:rsid w:val="00157651"/>
    <w:rsid w:val="001A087D"/>
    <w:rsid w:val="001D5DA1"/>
    <w:rsid w:val="001D73AE"/>
    <w:rsid w:val="001E3FE9"/>
    <w:rsid w:val="00203323"/>
    <w:rsid w:val="00240694"/>
    <w:rsid w:val="00262FA1"/>
    <w:rsid w:val="00270A62"/>
    <w:rsid w:val="002E40FA"/>
    <w:rsid w:val="00302601"/>
    <w:rsid w:val="0032083D"/>
    <w:rsid w:val="003B1EAC"/>
    <w:rsid w:val="003E3C0F"/>
    <w:rsid w:val="004C23EE"/>
    <w:rsid w:val="00634888"/>
    <w:rsid w:val="00662238"/>
    <w:rsid w:val="006A029E"/>
    <w:rsid w:val="006E1593"/>
    <w:rsid w:val="00715124"/>
    <w:rsid w:val="00727E7F"/>
    <w:rsid w:val="00763BF8"/>
    <w:rsid w:val="007778F7"/>
    <w:rsid w:val="007A3B53"/>
    <w:rsid w:val="00831023"/>
    <w:rsid w:val="008A4F2F"/>
    <w:rsid w:val="009122E8"/>
    <w:rsid w:val="009306AC"/>
    <w:rsid w:val="00967AD4"/>
    <w:rsid w:val="009B6595"/>
    <w:rsid w:val="009D4505"/>
    <w:rsid w:val="00A04101"/>
    <w:rsid w:val="00A714C8"/>
    <w:rsid w:val="00AA266A"/>
    <w:rsid w:val="00AE6320"/>
    <w:rsid w:val="00AE6405"/>
    <w:rsid w:val="00B260F9"/>
    <w:rsid w:val="00B31F3D"/>
    <w:rsid w:val="00B55E14"/>
    <w:rsid w:val="00B93CED"/>
    <w:rsid w:val="00B94E77"/>
    <w:rsid w:val="00C10A02"/>
    <w:rsid w:val="00C25598"/>
    <w:rsid w:val="00C25FAF"/>
    <w:rsid w:val="00CD5BC2"/>
    <w:rsid w:val="00CF43E7"/>
    <w:rsid w:val="00D1082D"/>
    <w:rsid w:val="00D418E9"/>
    <w:rsid w:val="00D6787B"/>
    <w:rsid w:val="00D71D60"/>
    <w:rsid w:val="00DB381A"/>
    <w:rsid w:val="00DE09B2"/>
    <w:rsid w:val="00E56A2E"/>
    <w:rsid w:val="00EC4D6D"/>
    <w:rsid w:val="00F21167"/>
    <w:rsid w:val="00FB7666"/>
    <w:rsid w:val="0401358E"/>
    <w:rsid w:val="04202B70"/>
    <w:rsid w:val="14104979"/>
    <w:rsid w:val="2085065B"/>
    <w:rsid w:val="28ED65C5"/>
    <w:rsid w:val="49C2685B"/>
    <w:rsid w:val="66F035CB"/>
    <w:rsid w:val="6B2E267E"/>
    <w:rsid w:val="6FD3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unhideWhenUsed/>
    <w:uiPriority w:val="99"/>
    <w:rPr>
      <w:b/>
      <w:bCs/>
    </w:rPr>
  </w:style>
  <w:style w:type="paragraph" w:styleId="3">
    <w:name w:val="annotation text"/>
    <w:basedOn w:val="1"/>
    <w:link w:val="11"/>
    <w:unhideWhenUsed/>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szCs w:val="24"/>
    </w:rPr>
  </w:style>
  <w:style w:type="character" w:styleId="9">
    <w:name w:val="annotation reference"/>
    <w:basedOn w:val="8"/>
    <w:unhideWhenUsed/>
    <w:qFormat/>
    <w:uiPriority w:val="99"/>
    <w:rPr>
      <w:sz w:val="21"/>
      <w:szCs w:val="21"/>
    </w:rPr>
  </w:style>
  <w:style w:type="character" w:customStyle="1" w:styleId="11">
    <w:name w:val="批注文字 Char"/>
    <w:basedOn w:val="8"/>
    <w:link w:val="3"/>
    <w:semiHidden/>
    <w:qFormat/>
    <w:uiPriority w:val="99"/>
    <w:rPr>
      <w:rFonts w:ascii="Calibri" w:hAnsi="Calibri" w:eastAsia="宋体" w:cs="Calibri"/>
      <w:szCs w:val="21"/>
    </w:rPr>
  </w:style>
  <w:style w:type="character" w:customStyle="1" w:styleId="12">
    <w:name w:val="批注主题 Char"/>
    <w:basedOn w:val="11"/>
    <w:link w:val="2"/>
    <w:semiHidden/>
    <w:qFormat/>
    <w:uiPriority w:val="99"/>
    <w:rPr>
      <w:b/>
      <w:bCs/>
    </w:rPr>
  </w:style>
  <w:style w:type="character" w:customStyle="1" w:styleId="13">
    <w:name w:val="批注框文本 Char"/>
    <w:basedOn w:val="8"/>
    <w:link w:val="4"/>
    <w:semiHidden/>
    <w:qFormat/>
    <w:uiPriority w:val="99"/>
    <w:rPr>
      <w:rFonts w:ascii="Calibri" w:hAnsi="Calibri" w:eastAsia="宋体" w:cs="Calibri"/>
      <w:sz w:val="18"/>
      <w:szCs w:val="18"/>
    </w:rPr>
  </w:style>
  <w:style w:type="character" w:customStyle="1" w:styleId="14">
    <w:name w:val="页眉 Char"/>
    <w:basedOn w:val="8"/>
    <w:link w:val="6"/>
    <w:semiHidden/>
    <w:qFormat/>
    <w:uiPriority w:val="99"/>
    <w:rPr>
      <w:rFonts w:ascii="Calibri" w:hAnsi="Calibri" w:eastAsia="宋体" w:cs="Calibri"/>
      <w:sz w:val="18"/>
      <w:szCs w:val="18"/>
    </w:rPr>
  </w:style>
  <w:style w:type="character" w:customStyle="1" w:styleId="15">
    <w:name w:val="页脚 Char"/>
    <w:basedOn w:val="8"/>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4</Pages>
  <Words>229</Words>
  <Characters>1306</Characters>
  <Lines>10</Lines>
  <Paragraphs>3</Paragraphs>
  <TotalTime>51</TotalTime>
  <ScaleCrop>false</ScaleCrop>
  <LinksUpToDate>false</LinksUpToDate>
  <CharactersWithSpaces>1532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2018-06-23T02:24:00Z</dcterms:created>
  <dc:creator>admin</dc:creator>
  <cp:lastModifiedBy>lenovo</cp:lastModifiedBy>
  <dcterms:modified xsi:type="dcterms:W3CDTF">2018-07-07T02:55:24Z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