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widowControl/>
        <w:spacing w:beforeAutospacing="0" w:afterAutospacing="0" w:line="450" w:lineRule="atLeast"/>
        <w:jc w:val="center"/>
        <w:rPr>
          <w:rFonts w:ascii="方正小标宋简体" w:hAnsi="方正小标宋简体" w:eastAsia="方正小标宋简体" w:cs="Times New Roman"/>
          <w:kern w:val="2"/>
          <w:sz w:val="44"/>
          <w:szCs w:val="44"/>
        </w:rPr>
      </w:pPr>
      <w:r>
        <w:rPr>
          <w:rFonts w:hint="eastAsia" w:ascii="方正小标宋简体" w:hAnsi="方正小标宋简体" w:eastAsia="方正小标宋简体" w:cs="方正小标宋简体"/>
          <w:kern w:val="2"/>
          <w:sz w:val="44"/>
          <w:szCs w:val="44"/>
        </w:rPr>
        <w:t>询价通知书</w:t>
      </w:r>
    </w:p>
    <w:p>
      <w:pPr>
        <w:pStyle w:val="7"/>
        <w:widowControl/>
        <w:spacing w:beforeAutospacing="0" w:afterAutospacing="0" w:line="450" w:lineRule="atLeast"/>
        <w:rPr>
          <w:rFonts w:ascii="仿宋" w:hAnsi="仿宋" w:eastAsia="仿宋" w:cs="Times New Roman"/>
          <w:kern w:val="2"/>
          <w:sz w:val="32"/>
          <w:szCs w:val="32"/>
        </w:rPr>
      </w:pPr>
      <w:r>
        <w:rPr>
          <w:rFonts w:hint="eastAsia" w:ascii="仿宋" w:hAnsi="仿宋" w:eastAsia="仿宋" w:cs="仿宋_GB2312"/>
          <w:kern w:val="2"/>
          <w:sz w:val="32"/>
          <w:szCs w:val="32"/>
        </w:rPr>
        <w:t>各单位：</w:t>
      </w:r>
    </w:p>
    <w:p>
      <w:pPr>
        <w:pStyle w:val="7"/>
        <w:widowControl/>
        <w:spacing w:beforeAutospacing="0" w:afterAutospacing="0" w:line="450" w:lineRule="atLeast"/>
        <w:ind w:firstLine="640" w:firstLineChars="200"/>
        <w:rPr>
          <w:rFonts w:ascii="仿宋" w:hAnsi="仿宋" w:eastAsia="仿宋" w:cs="Times New Roman"/>
          <w:kern w:val="2"/>
          <w:sz w:val="32"/>
          <w:szCs w:val="32"/>
        </w:rPr>
      </w:pPr>
      <w:r>
        <w:rPr>
          <w:rFonts w:hint="eastAsia" w:ascii="仿宋" w:hAnsi="仿宋" w:eastAsia="仿宋" w:cs="仿宋_GB2312"/>
          <w:kern w:val="2"/>
          <w:sz w:val="32"/>
          <w:szCs w:val="32"/>
        </w:rPr>
        <w:t>广州市少年宫就“</w:t>
      </w:r>
      <w:r>
        <w:rPr>
          <w:rFonts w:ascii="仿宋" w:hAnsi="仿宋" w:eastAsia="仿宋" w:cs="仿宋_GB2312"/>
          <w:kern w:val="2"/>
          <w:sz w:val="32"/>
          <w:szCs w:val="32"/>
        </w:rPr>
        <w:t>广域网考勤系统</w:t>
      </w:r>
      <w:r>
        <w:rPr>
          <w:rFonts w:hint="eastAsia" w:ascii="仿宋" w:hAnsi="仿宋" w:eastAsia="仿宋" w:cs="仿宋_GB2312"/>
          <w:kern w:val="2"/>
          <w:sz w:val="32"/>
          <w:szCs w:val="32"/>
        </w:rPr>
        <w:t>集成</w:t>
      </w:r>
      <w:r>
        <w:rPr>
          <w:rFonts w:ascii="仿宋" w:hAnsi="仿宋" w:eastAsia="仿宋" w:cs="仿宋_GB2312"/>
          <w:kern w:val="2"/>
          <w:sz w:val="32"/>
          <w:szCs w:val="32"/>
        </w:rPr>
        <w:t>项目</w:t>
      </w:r>
      <w:r>
        <w:rPr>
          <w:rFonts w:hint="eastAsia" w:ascii="仿宋" w:hAnsi="仿宋" w:eastAsia="仿宋" w:cs="仿宋_GB2312"/>
          <w:kern w:val="2"/>
          <w:sz w:val="32"/>
          <w:szCs w:val="32"/>
        </w:rPr>
        <w:t>”</w:t>
      </w:r>
      <w:r>
        <w:rPr>
          <w:rFonts w:hint="eastAsia" w:ascii="仿宋" w:hAnsi="仿宋" w:eastAsia="仿宋" w:cs="新宋体"/>
          <w:color w:val="333333"/>
          <w:sz w:val="32"/>
          <w:szCs w:val="32"/>
        </w:rPr>
        <w:t>进行网上公开询价</w:t>
      </w:r>
      <w:r>
        <w:rPr>
          <w:rFonts w:hint="eastAsia" w:ascii="仿宋" w:hAnsi="仿宋" w:eastAsia="仿宋" w:cs="仿宋_GB2312"/>
          <w:kern w:val="2"/>
          <w:sz w:val="32"/>
          <w:szCs w:val="32"/>
        </w:rPr>
        <w:t>，具体要求如下:</w:t>
      </w:r>
    </w:p>
    <w:p>
      <w:pPr>
        <w:pStyle w:val="7"/>
        <w:widowControl/>
        <w:spacing w:beforeAutospacing="0" w:afterAutospacing="0" w:line="450" w:lineRule="atLeast"/>
        <w:rPr>
          <w:rFonts w:ascii="仿宋" w:hAnsi="仿宋" w:eastAsia="仿宋" w:cs="Times New Roman"/>
          <w:color w:val="FF0000"/>
          <w:kern w:val="2"/>
          <w:sz w:val="32"/>
          <w:szCs w:val="32"/>
        </w:rPr>
      </w:pPr>
      <w:r>
        <w:rPr>
          <w:rFonts w:hint="eastAsia" w:ascii="仿宋" w:hAnsi="仿宋" w:eastAsia="仿宋" w:cs="Times New Roman"/>
          <w:kern w:val="2"/>
          <w:sz w:val="32"/>
          <w:szCs w:val="32"/>
        </w:rPr>
        <w:t>一</w:t>
      </w:r>
      <w:r>
        <w:rPr>
          <w:rFonts w:hint="eastAsia" w:ascii="仿宋" w:hAnsi="仿宋" w:eastAsia="仿宋" w:cs="仿宋_GB2312"/>
          <w:kern w:val="2"/>
          <w:sz w:val="32"/>
          <w:szCs w:val="32"/>
        </w:rPr>
        <w:t>、项目编号：</w:t>
      </w:r>
      <w:r>
        <w:rPr>
          <w:rFonts w:ascii="仿宋" w:hAnsi="仿宋" w:eastAsia="仿宋" w:cs="Times New Roman"/>
          <w:kern w:val="2"/>
          <w:sz w:val="32"/>
          <w:szCs w:val="32"/>
        </w:rPr>
        <w:t>GZSSNG-WSXJ-</w:t>
      </w:r>
      <w:r>
        <w:rPr>
          <w:rFonts w:hint="eastAsia" w:ascii="仿宋" w:hAnsi="仿宋" w:eastAsia="仿宋" w:cs="Times New Roman"/>
          <w:kern w:val="2"/>
          <w:sz w:val="32"/>
          <w:szCs w:val="32"/>
        </w:rPr>
        <w:t>JYJYB</w:t>
      </w:r>
      <w:r>
        <w:rPr>
          <w:rFonts w:ascii="仿宋" w:hAnsi="仿宋" w:eastAsia="仿宋" w:cs="Times New Roman"/>
          <w:kern w:val="2"/>
          <w:sz w:val="32"/>
          <w:szCs w:val="32"/>
        </w:rPr>
        <w:t>-2017-005</w:t>
      </w:r>
    </w:p>
    <w:p>
      <w:pPr>
        <w:pStyle w:val="7"/>
        <w:widowControl/>
        <w:spacing w:beforeAutospacing="0" w:afterAutospacing="0" w:line="450" w:lineRule="atLeast"/>
        <w:rPr>
          <w:rFonts w:ascii="仿宋" w:hAnsi="仿宋" w:eastAsia="仿宋" w:cs="Times New Roman"/>
          <w:kern w:val="2"/>
          <w:sz w:val="32"/>
          <w:szCs w:val="32"/>
        </w:rPr>
      </w:pPr>
      <w:r>
        <w:rPr>
          <w:rFonts w:hint="eastAsia" w:ascii="仿宋" w:hAnsi="仿宋" w:eastAsia="仿宋" w:cs="Times New Roman"/>
          <w:kern w:val="2"/>
          <w:sz w:val="32"/>
          <w:szCs w:val="32"/>
        </w:rPr>
        <w:t>二</w:t>
      </w:r>
      <w:r>
        <w:rPr>
          <w:rFonts w:hint="eastAsia" w:ascii="仿宋" w:hAnsi="仿宋" w:eastAsia="仿宋" w:cs="仿宋_GB2312"/>
          <w:kern w:val="2"/>
          <w:sz w:val="32"/>
          <w:szCs w:val="32"/>
        </w:rPr>
        <w:t>、项目名称：</w:t>
      </w:r>
      <w:r>
        <w:rPr>
          <w:rFonts w:ascii="仿宋" w:hAnsi="仿宋" w:eastAsia="仿宋" w:cs="仿宋_GB2312"/>
          <w:kern w:val="2"/>
          <w:sz w:val="32"/>
          <w:szCs w:val="32"/>
        </w:rPr>
        <w:t>广域网考勤系统</w:t>
      </w:r>
      <w:r>
        <w:rPr>
          <w:rFonts w:hint="eastAsia" w:ascii="仿宋" w:hAnsi="仿宋" w:eastAsia="仿宋" w:cs="仿宋_GB2312"/>
          <w:kern w:val="2"/>
          <w:sz w:val="32"/>
          <w:szCs w:val="32"/>
        </w:rPr>
        <w:t>集成网上询价项目</w:t>
      </w:r>
    </w:p>
    <w:p>
      <w:pPr>
        <w:pStyle w:val="7"/>
        <w:widowControl/>
        <w:spacing w:beforeAutospacing="0" w:afterAutospacing="0" w:line="450" w:lineRule="atLeast"/>
        <w:rPr>
          <w:rFonts w:ascii="仿宋" w:hAnsi="仿宋" w:eastAsia="仿宋" w:cs="Times New Roman"/>
          <w:kern w:val="2"/>
          <w:sz w:val="32"/>
          <w:szCs w:val="32"/>
        </w:rPr>
      </w:pPr>
      <w:r>
        <w:rPr>
          <w:rFonts w:hint="eastAsia" w:ascii="仿宋" w:hAnsi="仿宋" w:eastAsia="仿宋" w:cs="Times New Roman"/>
          <w:kern w:val="2"/>
          <w:sz w:val="32"/>
          <w:szCs w:val="32"/>
        </w:rPr>
        <w:t>三</w:t>
      </w:r>
      <w:r>
        <w:rPr>
          <w:rFonts w:hint="eastAsia" w:ascii="仿宋" w:hAnsi="仿宋" w:eastAsia="仿宋" w:cs="仿宋_GB2312"/>
          <w:kern w:val="2"/>
          <w:sz w:val="32"/>
          <w:szCs w:val="32"/>
        </w:rPr>
        <w:t>、项目内容：</w:t>
      </w:r>
    </w:p>
    <w:tbl>
      <w:tblPr>
        <w:tblStyle w:val="10"/>
        <w:tblW w:w="8342" w:type="dxa"/>
        <w:tblCellSpacing w:w="0" w:type="dxa"/>
        <w:tblInd w:w="0" w:type="dxa"/>
        <w:tblLayout w:type="fixed"/>
        <w:tblCellMar>
          <w:top w:w="0" w:type="dxa"/>
          <w:left w:w="0" w:type="dxa"/>
          <w:bottom w:w="0" w:type="dxa"/>
          <w:right w:w="0" w:type="dxa"/>
        </w:tblCellMar>
      </w:tblPr>
      <w:tblGrid>
        <w:gridCol w:w="2388"/>
        <w:gridCol w:w="5954"/>
      </w:tblGrid>
      <w:tr>
        <w:tblPrEx>
          <w:tblLayout w:type="fixed"/>
          <w:tblCellMar>
            <w:top w:w="0" w:type="dxa"/>
            <w:left w:w="0" w:type="dxa"/>
            <w:bottom w:w="0" w:type="dxa"/>
            <w:right w:w="0" w:type="dxa"/>
          </w:tblCellMar>
        </w:tblPrEx>
        <w:trPr>
          <w:tblCellSpacing w:w="0" w:type="dxa"/>
        </w:trPr>
        <w:tc>
          <w:tcPr>
            <w:tcW w:w="2388" w:type="dxa"/>
            <w:tcBorders>
              <w:top w:val="single" w:color="auto" w:sz="6" w:space="0"/>
              <w:left w:val="single" w:color="auto" w:sz="6" w:space="0"/>
              <w:bottom w:val="single" w:color="auto" w:sz="6" w:space="0"/>
              <w:right w:val="single" w:color="auto" w:sz="6" w:space="0"/>
            </w:tcBorders>
            <w:shd w:val="clear" w:color="auto" w:fill="FDFAF5"/>
            <w:tcMar>
              <w:left w:w="105" w:type="dxa"/>
              <w:right w:w="105" w:type="dxa"/>
            </w:tcMar>
            <w:vAlign w:val="center"/>
          </w:tcPr>
          <w:p>
            <w:pPr>
              <w:pStyle w:val="7"/>
              <w:widowControl/>
              <w:spacing w:beforeAutospacing="0" w:afterAutospacing="0" w:line="450" w:lineRule="atLeast"/>
              <w:rPr>
                <w:rFonts w:hint="eastAsia" w:ascii="仿宋" w:hAnsi="仿宋" w:eastAsia="仿宋" w:cs="Times New Roman"/>
                <w:kern w:val="2"/>
                <w:sz w:val="32"/>
                <w:szCs w:val="32"/>
              </w:rPr>
            </w:pPr>
            <w:r>
              <w:rPr>
                <w:rFonts w:hint="eastAsia" w:ascii="仿宋" w:hAnsi="仿宋" w:eastAsia="仿宋" w:cs="仿宋_GB2312"/>
                <w:kern w:val="2"/>
                <w:sz w:val="32"/>
                <w:szCs w:val="32"/>
              </w:rPr>
              <w:t>分项</w:t>
            </w:r>
          </w:p>
        </w:tc>
        <w:tc>
          <w:tcPr>
            <w:tcW w:w="5954" w:type="dxa"/>
            <w:tcBorders>
              <w:top w:val="single" w:color="auto" w:sz="6" w:space="0"/>
              <w:left w:val="nil"/>
              <w:bottom w:val="single" w:color="auto" w:sz="6" w:space="0"/>
              <w:right w:val="single" w:color="auto" w:sz="6" w:space="0"/>
            </w:tcBorders>
            <w:shd w:val="clear" w:color="auto" w:fill="FDFAF5"/>
            <w:tcMar>
              <w:left w:w="105" w:type="dxa"/>
              <w:right w:w="105" w:type="dxa"/>
            </w:tcMar>
            <w:vAlign w:val="center"/>
          </w:tcPr>
          <w:p>
            <w:pPr>
              <w:pStyle w:val="7"/>
              <w:widowControl/>
              <w:spacing w:beforeAutospacing="0" w:afterAutospacing="0" w:line="450" w:lineRule="atLeast"/>
              <w:rPr>
                <w:rFonts w:ascii="仿宋" w:hAnsi="仿宋" w:eastAsia="仿宋" w:cs="Times New Roman"/>
                <w:kern w:val="2"/>
                <w:sz w:val="32"/>
                <w:szCs w:val="32"/>
              </w:rPr>
            </w:pPr>
            <w:r>
              <w:rPr>
                <w:rFonts w:hint="eastAsia" w:ascii="仿宋" w:hAnsi="仿宋" w:eastAsia="仿宋" w:cs="仿宋_GB2312"/>
                <w:kern w:val="2"/>
                <w:sz w:val="32"/>
                <w:szCs w:val="32"/>
              </w:rPr>
              <w:t>规格技术要求</w:t>
            </w:r>
          </w:p>
        </w:tc>
      </w:tr>
      <w:tr>
        <w:tblPrEx>
          <w:tblLayout w:type="fixed"/>
          <w:tblCellMar>
            <w:top w:w="0" w:type="dxa"/>
            <w:left w:w="0" w:type="dxa"/>
            <w:bottom w:w="0" w:type="dxa"/>
            <w:right w:w="0" w:type="dxa"/>
          </w:tblCellMar>
        </w:tblPrEx>
        <w:trPr>
          <w:tblCellSpacing w:w="0" w:type="dxa"/>
        </w:trPr>
        <w:tc>
          <w:tcPr>
            <w:tcW w:w="2388" w:type="dxa"/>
            <w:tcBorders>
              <w:top w:val="single" w:color="auto" w:sz="6" w:space="0"/>
              <w:left w:val="single" w:color="auto" w:sz="6" w:space="0"/>
              <w:bottom w:val="single" w:color="auto" w:sz="6" w:space="0"/>
              <w:right w:val="single" w:color="auto" w:sz="6" w:space="0"/>
            </w:tcBorders>
            <w:shd w:val="clear" w:color="auto" w:fill="FDFAF5"/>
            <w:tcMar>
              <w:left w:w="105" w:type="dxa"/>
              <w:right w:w="105" w:type="dxa"/>
            </w:tcMar>
            <w:vAlign w:val="center"/>
          </w:tcPr>
          <w:p>
            <w:pPr>
              <w:pStyle w:val="7"/>
              <w:widowControl/>
              <w:spacing w:beforeAutospacing="0" w:afterAutospacing="0" w:line="450" w:lineRule="atLeast"/>
              <w:rPr>
                <w:rFonts w:hint="eastAsia" w:ascii="仿宋" w:hAnsi="仿宋" w:eastAsia="仿宋" w:cs="仿宋_GB2312"/>
                <w:kern w:val="2"/>
                <w:sz w:val="32"/>
                <w:szCs w:val="32"/>
              </w:rPr>
            </w:pPr>
            <w:r>
              <w:rPr>
                <w:rFonts w:hint="eastAsia" w:ascii="仿宋" w:hAnsi="仿宋" w:eastAsia="仿宋" w:cs="仿宋_GB2312"/>
                <w:kern w:val="2"/>
                <w:sz w:val="32"/>
                <w:szCs w:val="32"/>
              </w:rPr>
              <w:t>1、</w:t>
            </w:r>
            <w:r>
              <w:rPr>
                <w:rFonts w:ascii="仿宋" w:hAnsi="仿宋" w:eastAsia="仿宋" w:cs="仿宋_GB2312"/>
                <w:kern w:val="2"/>
                <w:sz w:val="32"/>
                <w:szCs w:val="32"/>
              </w:rPr>
              <w:t>考勤机组网</w:t>
            </w:r>
          </w:p>
        </w:tc>
        <w:tc>
          <w:tcPr>
            <w:tcW w:w="5954" w:type="dxa"/>
            <w:tcBorders>
              <w:top w:val="single" w:color="auto" w:sz="6" w:space="0"/>
              <w:left w:val="nil"/>
              <w:bottom w:val="single" w:color="auto" w:sz="6" w:space="0"/>
              <w:right w:val="single" w:color="auto" w:sz="6" w:space="0"/>
            </w:tcBorders>
            <w:shd w:val="clear" w:color="auto" w:fill="FDFAF5"/>
            <w:tcMar>
              <w:left w:w="105" w:type="dxa"/>
              <w:right w:w="105" w:type="dxa"/>
            </w:tcMar>
            <w:vAlign w:val="center"/>
          </w:tcPr>
          <w:p>
            <w:pPr>
              <w:ind w:firstLine="480" w:firstLineChars="200"/>
              <w:rPr>
                <w:rFonts w:hint="eastAsia" w:ascii="仿宋_GB2312" w:hAnsi="仿宋" w:eastAsia="仿宋_GB2312" w:cs="仿宋_GB2312"/>
                <w:sz w:val="24"/>
                <w:szCs w:val="24"/>
              </w:rPr>
            </w:pPr>
            <w:r>
              <w:rPr>
                <w:rFonts w:hint="eastAsia" w:ascii="仿宋_GB2312" w:eastAsia="仿宋_GB2312"/>
                <w:sz w:val="24"/>
                <w:szCs w:val="24"/>
              </w:rPr>
              <w:t>将现有的8个考勤单机组网接入互联网；按照指定位置，将考勤机安装固定，做好考勤机强电、弱电安装联网工程，工程材料必须符合相关国家标准。</w:t>
            </w:r>
          </w:p>
        </w:tc>
      </w:tr>
      <w:tr>
        <w:tblPrEx>
          <w:tblLayout w:type="fixed"/>
          <w:tblCellMar>
            <w:top w:w="0" w:type="dxa"/>
            <w:left w:w="0" w:type="dxa"/>
            <w:bottom w:w="0" w:type="dxa"/>
            <w:right w:w="0" w:type="dxa"/>
          </w:tblCellMar>
        </w:tblPrEx>
        <w:trPr>
          <w:tblCellSpacing w:w="0" w:type="dxa"/>
        </w:trPr>
        <w:tc>
          <w:tcPr>
            <w:tcW w:w="2388" w:type="dxa"/>
            <w:tcBorders>
              <w:top w:val="single" w:color="auto" w:sz="6" w:space="0"/>
              <w:left w:val="single" w:color="auto" w:sz="6" w:space="0"/>
              <w:bottom w:val="single" w:color="auto" w:sz="6" w:space="0"/>
              <w:right w:val="single" w:color="auto" w:sz="6" w:space="0"/>
            </w:tcBorders>
            <w:shd w:val="clear" w:color="auto" w:fill="FDFAF5"/>
            <w:tcMar>
              <w:left w:w="105" w:type="dxa"/>
              <w:right w:w="105" w:type="dxa"/>
            </w:tcMar>
            <w:vAlign w:val="center"/>
          </w:tcPr>
          <w:p>
            <w:pPr>
              <w:pStyle w:val="7"/>
              <w:widowControl/>
              <w:spacing w:beforeAutospacing="0" w:afterAutospacing="0" w:line="450" w:lineRule="atLeast"/>
              <w:rPr>
                <w:rFonts w:hint="eastAsia" w:ascii="仿宋" w:hAnsi="仿宋" w:eastAsia="仿宋" w:cs="仿宋_GB2312"/>
                <w:kern w:val="2"/>
                <w:sz w:val="32"/>
                <w:szCs w:val="32"/>
              </w:rPr>
            </w:pPr>
            <w:r>
              <w:rPr>
                <w:rFonts w:hint="eastAsia" w:ascii="仿宋" w:hAnsi="仿宋" w:eastAsia="仿宋" w:cs="仿宋_GB2312"/>
                <w:kern w:val="2"/>
                <w:sz w:val="32"/>
                <w:szCs w:val="32"/>
              </w:rPr>
              <w:t>2、广域网</w:t>
            </w:r>
            <w:r>
              <w:rPr>
                <w:rFonts w:ascii="仿宋" w:hAnsi="仿宋" w:eastAsia="仿宋" w:cs="仿宋_GB2312"/>
                <w:kern w:val="2"/>
                <w:sz w:val="32"/>
                <w:szCs w:val="32"/>
              </w:rPr>
              <w:t>考勤管理软件</w:t>
            </w:r>
          </w:p>
        </w:tc>
        <w:tc>
          <w:tcPr>
            <w:tcW w:w="5954" w:type="dxa"/>
            <w:tcBorders>
              <w:top w:val="single" w:color="auto" w:sz="6" w:space="0"/>
              <w:left w:val="nil"/>
              <w:bottom w:val="single" w:color="auto" w:sz="6" w:space="0"/>
              <w:right w:val="single" w:color="auto" w:sz="6" w:space="0"/>
            </w:tcBorders>
            <w:shd w:val="clear" w:color="auto" w:fill="FDFAF5"/>
            <w:tcMar>
              <w:left w:w="105" w:type="dxa"/>
              <w:right w:w="105" w:type="dxa"/>
            </w:tcMar>
            <w:vAlign w:val="center"/>
          </w:tcPr>
          <w:p>
            <w:pPr>
              <w:ind w:firstLine="480" w:firstLineChars="200"/>
              <w:rPr>
                <w:rFonts w:hint="eastAsia" w:ascii="仿宋_GB2312" w:eastAsia="仿宋_GB2312"/>
                <w:sz w:val="24"/>
                <w:szCs w:val="24"/>
              </w:rPr>
            </w:pPr>
            <w:r>
              <w:rPr>
                <w:rFonts w:hint="eastAsia" w:ascii="仿宋_GB2312" w:eastAsia="仿宋_GB2312"/>
                <w:sz w:val="24"/>
                <w:szCs w:val="24"/>
              </w:rPr>
              <w:t>采购一套可管理20个考勤节点的在线式广域网管理软件，软件终身免费维护。软件功能必须满足以下附件详细要求。</w:t>
            </w:r>
          </w:p>
        </w:tc>
      </w:tr>
      <w:tr>
        <w:tblPrEx>
          <w:tblLayout w:type="fixed"/>
          <w:tblCellMar>
            <w:top w:w="0" w:type="dxa"/>
            <w:left w:w="0" w:type="dxa"/>
            <w:bottom w:w="0" w:type="dxa"/>
            <w:right w:w="0" w:type="dxa"/>
          </w:tblCellMar>
        </w:tblPrEx>
        <w:trPr>
          <w:tblCellSpacing w:w="0" w:type="dxa"/>
        </w:trPr>
        <w:tc>
          <w:tcPr>
            <w:tcW w:w="2388" w:type="dxa"/>
            <w:tcBorders>
              <w:top w:val="single" w:color="auto" w:sz="6" w:space="0"/>
              <w:left w:val="single" w:color="auto" w:sz="6" w:space="0"/>
              <w:bottom w:val="single" w:color="auto" w:sz="6" w:space="0"/>
              <w:right w:val="single" w:color="auto" w:sz="6" w:space="0"/>
            </w:tcBorders>
            <w:shd w:val="clear" w:color="auto" w:fill="FDFAF5"/>
            <w:tcMar>
              <w:left w:w="105" w:type="dxa"/>
              <w:right w:w="105" w:type="dxa"/>
            </w:tcMar>
            <w:vAlign w:val="center"/>
          </w:tcPr>
          <w:p>
            <w:pPr>
              <w:pStyle w:val="7"/>
              <w:widowControl/>
              <w:spacing w:beforeAutospacing="0" w:afterAutospacing="0" w:line="450" w:lineRule="atLeast"/>
              <w:rPr>
                <w:rFonts w:hint="eastAsia" w:ascii="仿宋" w:hAnsi="仿宋" w:eastAsia="仿宋" w:cs="仿宋_GB2312"/>
                <w:kern w:val="2"/>
                <w:sz w:val="32"/>
                <w:szCs w:val="32"/>
              </w:rPr>
            </w:pPr>
            <w:r>
              <w:rPr>
                <w:rFonts w:hint="eastAsia" w:ascii="仿宋" w:hAnsi="仿宋" w:eastAsia="仿宋" w:cs="仿宋_GB2312"/>
                <w:kern w:val="2"/>
                <w:sz w:val="32"/>
                <w:szCs w:val="32"/>
              </w:rPr>
              <w:t>3、</w:t>
            </w:r>
            <w:r>
              <w:rPr>
                <w:rFonts w:ascii="仿宋" w:hAnsi="仿宋" w:eastAsia="仿宋" w:cs="仿宋_GB2312"/>
                <w:kern w:val="2"/>
                <w:sz w:val="32"/>
                <w:szCs w:val="32"/>
              </w:rPr>
              <w:t>调试并培训使用</w:t>
            </w:r>
          </w:p>
        </w:tc>
        <w:tc>
          <w:tcPr>
            <w:tcW w:w="5954" w:type="dxa"/>
            <w:tcBorders>
              <w:top w:val="single" w:color="auto" w:sz="6" w:space="0"/>
              <w:left w:val="nil"/>
              <w:bottom w:val="single" w:color="auto" w:sz="6" w:space="0"/>
              <w:right w:val="single" w:color="auto" w:sz="6" w:space="0"/>
            </w:tcBorders>
            <w:shd w:val="clear" w:color="auto" w:fill="FDFAF5"/>
            <w:tcMar>
              <w:left w:w="105" w:type="dxa"/>
              <w:right w:w="105" w:type="dxa"/>
            </w:tcMar>
            <w:vAlign w:val="center"/>
          </w:tcPr>
          <w:p>
            <w:pPr>
              <w:ind w:firstLine="480" w:firstLineChars="200"/>
              <w:rPr>
                <w:rFonts w:hint="eastAsia" w:ascii="仿宋_GB2312" w:eastAsia="仿宋_GB2312"/>
                <w:sz w:val="24"/>
                <w:szCs w:val="24"/>
              </w:rPr>
            </w:pPr>
            <w:r>
              <w:rPr>
                <w:rFonts w:hint="eastAsia" w:ascii="仿宋_GB2312" w:eastAsia="仿宋_GB2312"/>
                <w:sz w:val="24"/>
                <w:szCs w:val="24"/>
              </w:rPr>
              <w:t>调试完毕交付使用后，须提供不少于三次正式操作培训。</w:t>
            </w:r>
          </w:p>
        </w:tc>
      </w:tr>
    </w:tbl>
    <w:p>
      <w:pPr>
        <w:pStyle w:val="7"/>
        <w:widowControl/>
        <w:spacing w:beforeAutospacing="0" w:afterAutospacing="0" w:line="450" w:lineRule="atLeast"/>
        <w:rPr>
          <w:rFonts w:ascii="仿宋" w:hAnsi="仿宋" w:eastAsia="仿宋" w:cs="Times New Roman"/>
          <w:kern w:val="2"/>
          <w:sz w:val="32"/>
          <w:szCs w:val="32"/>
        </w:rPr>
      </w:pPr>
      <w:r>
        <w:rPr>
          <w:rFonts w:hint="eastAsia" w:ascii="仿宋" w:hAnsi="仿宋" w:eastAsia="仿宋" w:cs="仿宋_GB2312"/>
          <w:kern w:val="2"/>
          <w:sz w:val="32"/>
          <w:szCs w:val="32"/>
        </w:rPr>
        <w:t>采购预算上限：</w:t>
      </w:r>
      <w:r>
        <w:rPr>
          <w:rFonts w:ascii="仿宋" w:hAnsi="仿宋" w:eastAsia="仿宋" w:cs="Times New Roman"/>
          <w:kern w:val="2"/>
          <w:sz w:val="32"/>
          <w:szCs w:val="32"/>
        </w:rPr>
        <w:t>50000</w:t>
      </w:r>
      <w:r>
        <w:rPr>
          <w:rFonts w:hint="eastAsia" w:ascii="仿宋" w:hAnsi="仿宋" w:eastAsia="仿宋" w:cs="Times New Roman"/>
          <w:kern w:val="2"/>
          <w:sz w:val="32"/>
          <w:szCs w:val="32"/>
        </w:rPr>
        <w:t>元。</w:t>
      </w:r>
    </w:p>
    <w:p>
      <w:pPr>
        <w:pStyle w:val="7"/>
        <w:widowControl/>
        <w:spacing w:beforeAutospacing="0" w:afterAutospacing="0" w:line="450" w:lineRule="atLeast"/>
        <w:rPr>
          <w:rFonts w:ascii="仿宋" w:hAnsi="仿宋" w:eastAsia="仿宋" w:cs="仿宋_GB2312"/>
          <w:kern w:val="2"/>
          <w:sz w:val="32"/>
          <w:szCs w:val="32"/>
        </w:rPr>
      </w:pPr>
      <w:r>
        <w:rPr>
          <w:rFonts w:hint="eastAsia" w:ascii="仿宋" w:hAnsi="仿宋" w:eastAsia="仿宋" w:cs="仿宋_GB2312"/>
          <w:kern w:val="2"/>
          <w:sz w:val="32"/>
          <w:szCs w:val="32"/>
        </w:rPr>
        <w:t>四、合格的供应商应具备的资格要求（未达到以下资质要求的，将被视为无效询价响应）：</w:t>
      </w:r>
    </w:p>
    <w:p>
      <w:pPr>
        <w:pStyle w:val="7"/>
        <w:widowControl/>
        <w:spacing w:beforeAutospacing="0" w:afterAutospacing="0" w:line="450" w:lineRule="atLeast"/>
        <w:rPr>
          <w:rFonts w:ascii="仿宋" w:hAnsi="仿宋" w:eastAsia="仿宋" w:cs="仿宋_GB2312"/>
          <w:kern w:val="2"/>
          <w:sz w:val="32"/>
          <w:szCs w:val="32"/>
        </w:rPr>
      </w:pPr>
      <w:r>
        <w:rPr>
          <w:rFonts w:hint="eastAsia" w:ascii="仿宋" w:hAnsi="仿宋" w:eastAsia="仿宋" w:cs="宋体"/>
          <w:color w:val="333333"/>
          <w:sz w:val="32"/>
          <w:szCs w:val="32"/>
        </w:rPr>
        <w:t>（1）在中华人民共和国境内注册，具有独立法人资格，具有独立承担民事责任的能力；</w:t>
      </w:r>
      <w:r>
        <w:rPr>
          <w:rFonts w:hint="eastAsia" w:ascii="仿宋" w:hAnsi="仿宋" w:eastAsia="仿宋" w:cs="宋体"/>
          <w:color w:val="333333"/>
          <w:sz w:val="32"/>
          <w:szCs w:val="32"/>
        </w:rPr>
        <w:br w:type="textWrapping"/>
      </w:r>
      <w:r>
        <w:rPr>
          <w:rFonts w:hint="eastAsia" w:ascii="仿宋" w:hAnsi="仿宋" w:eastAsia="仿宋" w:cs="宋体"/>
          <w:color w:val="333333"/>
          <w:sz w:val="32"/>
          <w:szCs w:val="32"/>
        </w:rPr>
        <w:t>（2）具有良好的商业信誉和健全的财务会计制度；</w:t>
      </w:r>
      <w:r>
        <w:rPr>
          <w:rFonts w:hint="eastAsia" w:ascii="仿宋" w:hAnsi="仿宋" w:eastAsia="仿宋" w:cs="宋体"/>
          <w:color w:val="333333"/>
          <w:sz w:val="32"/>
          <w:szCs w:val="32"/>
        </w:rPr>
        <w:br w:type="textWrapping"/>
      </w:r>
      <w:r>
        <w:rPr>
          <w:rFonts w:hint="eastAsia" w:ascii="仿宋" w:hAnsi="仿宋" w:eastAsia="仿宋" w:cs="宋体"/>
          <w:color w:val="333333"/>
          <w:sz w:val="32"/>
          <w:szCs w:val="32"/>
        </w:rPr>
        <w:t>（3）具有履行合同所必需的服务和专业技术能力；</w:t>
      </w:r>
      <w:r>
        <w:rPr>
          <w:rFonts w:hint="eastAsia" w:ascii="仿宋" w:hAnsi="仿宋" w:eastAsia="仿宋" w:cs="宋体"/>
          <w:color w:val="333333"/>
          <w:sz w:val="32"/>
          <w:szCs w:val="32"/>
        </w:rPr>
        <w:br w:type="textWrapping"/>
      </w:r>
      <w:r>
        <w:rPr>
          <w:rFonts w:hint="eastAsia" w:ascii="仿宋" w:hAnsi="仿宋" w:eastAsia="仿宋" w:cs="宋体"/>
          <w:color w:val="333333"/>
          <w:sz w:val="32"/>
          <w:szCs w:val="32"/>
        </w:rPr>
        <w:t>（4）有依法缴纳税收和社会保障资金的良好记录；</w:t>
      </w:r>
      <w:r>
        <w:rPr>
          <w:rFonts w:hint="eastAsia" w:ascii="仿宋" w:hAnsi="仿宋" w:eastAsia="仿宋" w:cs="宋体"/>
          <w:color w:val="333333"/>
          <w:sz w:val="32"/>
          <w:szCs w:val="32"/>
        </w:rPr>
        <w:br w:type="textWrapping"/>
      </w:r>
      <w:r>
        <w:rPr>
          <w:rFonts w:hint="eastAsia" w:ascii="仿宋" w:hAnsi="仿宋" w:eastAsia="仿宋" w:cs="宋体"/>
          <w:color w:val="333333"/>
          <w:sz w:val="32"/>
          <w:szCs w:val="32"/>
        </w:rPr>
        <w:t>（5）在经营活动中没有重大违法记录；</w:t>
      </w:r>
      <w:r>
        <w:rPr>
          <w:rFonts w:hint="eastAsia" w:ascii="仿宋" w:hAnsi="仿宋" w:eastAsia="仿宋" w:cs="宋体"/>
          <w:color w:val="333333"/>
          <w:sz w:val="32"/>
          <w:szCs w:val="32"/>
        </w:rPr>
        <w:br w:type="textWrapping"/>
      </w:r>
      <w:r>
        <w:rPr>
          <w:rFonts w:hint="eastAsia" w:ascii="仿宋" w:hAnsi="仿宋" w:eastAsia="仿宋" w:cs="宋体"/>
          <w:color w:val="333333"/>
          <w:sz w:val="32"/>
          <w:szCs w:val="32"/>
        </w:rPr>
        <w:t>（6）法律、行政法规规定的其他条件；</w:t>
      </w:r>
      <w:r>
        <w:rPr>
          <w:rFonts w:hint="eastAsia" w:ascii="仿宋" w:hAnsi="仿宋" w:eastAsia="仿宋" w:cs="宋体"/>
          <w:color w:val="333333"/>
          <w:sz w:val="32"/>
          <w:szCs w:val="32"/>
        </w:rPr>
        <w:br w:type="textWrapping"/>
      </w:r>
      <w:r>
        <w:rPr>
          <w:rFonts w:hint="eastAsia" w:ascii="仿宋" w:hAnsi="仿宋" w:eastAsia="仿宋" w:cs="宋体"/>
          <w:color w:val="333333"/>
          <w:sz w:val="32"/>
          <w:szCs w:val="32"/>
        </w:rPr>
        <w:t>（7）符合、承认并承诺履行本采购文件各项规定，所提供的货物和服务须在我国境内合法生产、销售的；</w:t>
      </w:r>
      <w:r>
        <w:rPr>
          <w:rFonts w:hint="eastAsia" w:ascii="仿宋" w:hAnsi="仿宋" w:eastAsia="仿宋" w:cs="宋体"/>
          <w:color w:val="333333"/>
          <w:sz w:val="32"/>
          <w:szCs w:val="32"/>
        </w:rPr>
        <w:br w:type="textWrapping"/>
      </w:r>
      <w:r>
        <w:rPr>
          <w:rFonts w:hint="eastAsia" w:ascii="仿宋" w:hAnsi="仿宋" w:eastAsia="仿宋" w:cs="宋体"/>
          <w:color w:val="333333"/>
          <w:sz w:val="32"/>
          <w:szCs w:val="32"/>
        </w:rPr>
        <w:t>（8）具有较强的项目管理、技术服务和组织实施能力，具有完善的售后服务机构和售后服务体系，并有良好的工作业绩和履约记录。</w:t>
      </w:r>
    </w:p>
    <w:p>
      <w:pPr>
        <w:pStyle w:val="7"/>
        <w:widowControl/>
        <w:spacing w:beforeAutospacing="0" w:afterAutospacing="0" w:line="450" w:lineRule="atLeast"/>
        <w:rPr>
          <w:rFonts w:ascii="仿宋" w:hAnsi="仿宋" w:eastAsia="仿宋"/>
          <w:sz w:val="32"/>
          <w:szCs w:val="32"/>
        </w:rPr>
      </w:pPr>
      <w:r>
        <w:rPr>
          <w:rFonts w:hint="eastAsia" w:ascii="仿宋" w:hAnsi="仿宋" w:eastAsia="仿宋" w:cs="仿宋_GB2312"/>
          <w:kern w:val="2"/>
          <w:sz w:val="32"/>
          <w:szCs w:val="32"/>
        </w:rPr>
        <w:t>6、符合条件的，均可在自愿遵守本询价采购要求的前提下进行报价，并要求被询价的供应商一次性报出不得更改的供应数量。</w:t>
      </w:r>
      <w:r>
        <w:rPr>
          <w:rFonts w:hint="eastAsia" w:ascii="仿宋" w:hAnsi="仿宋" w:eastAsia="仿宋"/>
          <w:sz w:val="32"/>
          <w:szCs w:val="32"/>
        </w:rPr>
        <w:t>对于不符合以上要求的供应商所递交的报价文件，恕不接受。</w:t>
      </w:r>
    </w:p>
    <w:p>
      <w:pPr>
        <w:rPr>
          <w:rFonts w:hint="eastAsia" w:ascii="仿宋" w:hAnsi="仿宋" w:eastAsia="仿宋"/>
          <w:kern w:val="0"/>
          <w:sz w:val="32"/>
          <w:szCs w:val="32"/>
        </w:rPr>
      </w:pPr>
      <w:r>
        <w:rPr>
          <w:rFonts w:hint="eastAsia" w:ascii="仿宋" w:hAnsi="仿宋" w:eastAsia="仿宋"/>
          <w:kern w:val="0"/>
          <w:sz w:val="32"/>
          <w:szCs w:val="32"/>
        </w:rPr>
        <w:t>7、采购方式：公开</w:t>
      </w:r>
      <w:r>
        <w:rPr>
          <w:rFonts w:ascii="仿宋" w:hAnsi="仿宋" w:eastAsia="仿宋"/>
          <w:kern w:val="0"/>
          <w:sz w:val="32"/>
          <w:szCs w:val="32"/>
        </w:rPr>
        <w:t>询价，</w:t>
      </w:r>
      <w:r>
        <w:rPr>
          <w:rFonts w:hint="eastAsia" w:ascii="仿宋" w:hAnsi="仿宋" w:eastAsia="仿宋"/>
          <w:kern w:val="0"/>
          <w:sz w:val="32"/>
          <w:szCs w:val="32"/>
        </w:rPr>
        <w:t>满足技术、</w:t>
      </w:r>
      <w:r>
        <w:rPr>
          <w:rFonts w:ascii="仿宋" w:hAnsi="仿宋" w:eastAsia="仿宋"/>
          <w:kern w:val="0"/>
          <w:sz w:val="32"/>
          <w:szCs w:val="32"/>
        </w:rPr>
        <w:t>质量</w:t>
      </w:r>
      <w:r>
        <w:rPr>
          <w:rFonts w:hint="eastAsia" w:ascii="仿宋" w:hAnsi="仿宋" w:eastAsia="仿宋"/>
          <w:kern w:val="0"/>
          <w:sz w:val="32"/>
          <w:szCs w:val="32"/>
        </w:rPr>
        <w:t>和</w:t>
      </w:r>
      <w:r>
        <w:rPr>
          <w:rFonts w:ascii="仿宋" w:hAnsi="仿宋" w:eastAsia="仿宋"/>
          <w:kern w:val="0"/>
          <w:sz w:val="32"/>
          <w:szCs w:val="32"/>
        </w:rPr>
        <w:t>售后服务要求</w:t>
      </w:r>
      <w:r>
        <w:rPr>
          <w:rFonts w:hint="eastAsia" w:ascii="仿宋" w:hAnsi="仿宋" w:eastAsia="仿宋"/>
          <w:kern w:val="0"/>
          <w:sz w:val="32"/>
          <w:szCs w:val="32"/>
        </w:rPr>
        <w:t>下，按</w:t>
      </w:r>
      <w:r>
        <w:rPr>
          <w:rFonts w:ascii="仿宋" w:hAnsi="仿宋" w:eastAsia="仿宋"/>
          <w:kern w:val="0"/>
          <w:sz w:val="32"/>
          <w:szCs w:val="32"/>
        </w:rPr>
        <w:t>价低者选择供应商</w:t>
      </w:r>
      <w:r>
        <w:rPr>
          <w:rFonts w:hint="eastAsia" w:ascii="仿宋" w:hAnsi="仿宋" w:eastAsia="仿宋"/>
          <w:kern w:val="0"/>
          <w:sz w:val="32"/>
          <w:szCs w:val="32"/>
        </w:rPr>
        <w:t>。</w:t>
      </w:r>
    </w:p>
    <w:p>
      <w:pPr>
        <w:pStyle w:val="7"/>
        <w:widowControl/>
        <w:spacing w:beforeAutospacing="0" w:afterAutospacing="0" w:line="450" w:lineRule="atLeast"/>
        <w:rPr>
          <w:rFonts w:ascii="仿宋" w:hAnsi="仿宋" w:eastAsia="仿宋" w:cs="仿宋_GB2312"/>
          <w:kern w:val="2"/>
          <w:sz w:val="32"/>
          <w:szCs w:val="32"/>
        </w:rPr>
      </w:pPr>
      <w:r>
        <w:rPr>
          <w:rFonts w:hint="eastAsia" w:ascii="仿宋" w:hAnsi="仿宋" w:eastAsia="仿宋"/>
          <w:sz w:val="32"/>
          <w:szCs w:val="32"/>
        </w:rPr>
        <w:t>8、本次询价为整体采购，以上采购资金总量是包括了供应商对货物及随机附件的设计、采购、制造、检测、试验、包装、运输、保险、税费、其它费用等一切支出</w:t>
      </w:r>
      <w:r>
        <w:rPr>
          <w:rFonts w:hint="eastAsia" w:ascii="仿宋" w:hAnsi="仿宋" w:eastAsia="仿宋" w:cs="仿宋_GB2312"/>
          <w:kern w:val="2"/>
          <w:sz w:val="32"/>
          <w:szCs w:val="32"/>
        </w:rPr>
        <w:t>。</w:t>
      </w:r>
      <w:r>
        <w:rPr>
          <w:rFonts w:ascii="仿宋" w:hAnsi="仿宋" w:eastAsia="仿宋" w:cs="Times New Roman"/>
          <w:kern w:val="2"/>
          <w:sz w:val="32"/>
          <w:szCs w:val="32"/>
        </w:rPr>
        <w:br w:type="textWrapping"/>
      </w:r>
      <w:r>
        <w:rPr>
          <w:rFonts w:ascii="仿宋" w:hAnsi="仿宋" w:eastAsia="仿宋" w:cs="Times New Roman"/>
          <w:kern w:val="2"/>
          <w:sz w:val="32"/>
          <w:szCs w:val="32"/>
        </w:rPr>
        <w:t>9</w:t>
      </w:r>
      <w:r>
        <w:rPr>
          <w:rFonts w:hint="eastAsia" w:ascii="仿宋" w:hAnsi="仿宋" w:eastAsia="仿宋" w:cs="仿宋_GB2312"/>
          <w:kern w:val="2"/>
          <w:sz w:val="32"/>
          <w:szCs w:val="32"/>
        </w:rPr>
        <w:t>、供货期：中标后</w:t>
      </w:r>
      <w:r>
        <w:rPr>
          <w:rFonts w:ascii="仿宋" w:hAnsi="仿宋" w:eastAsia="仿宋" w:cs="仿宋_GB2312"/>
          <w:kern w:val="2"/>
          <w:sz w:val="32"/>
          <w:szCs w:val="32"/>
        </w:rPr>
        <w:t>15</w:t>
      </w:r>
      <w:r>
        <w:rPr>
          <w:rFonts w:hint="eastAsia" w:ascii="仿宋" w:hAnsi="仿宋" w:eastAsia="仿宋" w:cs="仿宋_GB2312"/>
          <w:kern w:val="2"/>
          <w:sz w:val="32"/>
          <w:szCs w:val="32"/>
        </w:rPr>
        <w:t>天内交付采购人使用。</w:t>
      </w:r>
    </w:p>
    <w:p>
      <w:pPr>
        <w:pStyle w:val="7"/>
        <w:widowControl/>
        <w:spacing w:beforeAutospacing="0" w:afterAutospacing="0" w:line="450" w:lineRule="atLeast"/>
        <w:rPr>
          <w:rFonts w:ascii="仿宋" w:hAnsi="仿宋" w:eastAsia="仿宋" w:cs="Times New Roman"/>
          <w:kern w:val="2"/>
          <w:sz w:val="32"/>
          <w:szCs w:val="32"/>
        </w:rPr>
      </w:pPr>
      <w:r>
        <w:rPr>
          <w:rFonts w:ascii="仿宋" w:hAnsi="仿宋" w:eastAsia="仿宋" w:cs="Times New Roman"/>
          <w:kern w:val="2"/>
          <w:sz w:val="32"/>
          <w:szCs w:val="32"/>
        </w:rPr>
        <w:t>10</w:t>
      </w:r>
      <w:r>
        <w:rPr>
          <w:rFonts w:hint="eastAsia" w:ascii="仿宋" w:hAnsi="仿宋" w:eastAsia="仿宋" w:cs="仿宋_GB2312"/>
          <w:kern w:val="2"/>
          <w:sz w:val="32"/>
          <w:szCs w:val="32"/>
        </w:rPr>
        <w:t>、供货地点：广州市少年宫内采购人指定的地点。</w:t>
      </w:r>
      <w:r>
        <w:rPr>
          <w:rFonts w:ascii="仿宋" w:hAnsi="仿宋" w:eastAsia="仿宋" w:cs="Times New Roman"/>
          <w:kern w:val="2"/>
          <w:sz w:val="32"/>
          <w:szCs w:val="32"/>
        </w:rPr>
        <w:br w:type="textWrapping"/>
      </w:r>
      <w:r>
        <w:rPr>
          <w:rFonts w:ascii="仿宋" w:hAnsi="仿宋" w:eastAsia="仿宋" w:cs="Times New Roman"/>
          <w:kern w:val="2"/>
          <w:sz w:val="32"/>
          <w:szCs w:val="32"/>
        </w:rPr>
        <w:t>11</w:t>
      </w:r>
      <w:r>
        <w:rPr>
          <w:rFonts w:hint="eastAsia" w:ascii="仿宋" w:hAnsi="仿宋" w:eastAsia="仿宋" w:cs="仿宋_GB2312"/>
          <w:kern w:val="2"/>
          <w:sz w:val="32"/>
          <w:szCs w:val="32"/>
        </w:rPr>
        <w:t>、报价方必须提供产品的质量保证说明及售后服务承诺。</w:t>
      </w:r>
    </w:p>
    <w:p>
      <w:pPr>
        <w:pStyle w:val="7"/>
        <w:widowControl/>
        <w:spacing w:beforeAutospacing="0" w:afterAutospacing="0" w:line="450" w:lineRule="atLeast"/>
        <w:rPr>
          <w:rFonts w:hint="eastAsia" w:ascii="仿宋" w:hAnsi="仿宋" w:eastAsia="仿宋" w:cs="仿宋_GB2312"/>
          <w:kern w:val="2"/>
          <w:sz w:val="32"/>
          <w:szCs w:val="32"/>
        </w:rPr>
      </w:pPr>
      <w:r>
        <w:rPr>
          <w:rFonts w:ascii="仿宋" w:hAnsi="仿宋" w:eastAsia="仿宋" w:cs="Times New Roman"/>
          <w:kern w:val="2"/>
          <w:sz w:val="32"/>
          <w:szCs w:val="32"/>
        </w:rPr>
        <w:t>12</w:t>
      </w:r>
      <w:r>
        <w:rPr>
          <w:rFonts w:hint="eastAsia" w:ascii="仿宋" w:hAnsi="仿宋" w:eastAsia="仿宋" w:cs="仿宋_GB2312"/>
          <w:kern w:val="2"/>
          <w:sz w:val="32"/>
          <w:szCs w:val="32"/>
        </w:rPr>
        <w:t>、采购方在确定成交供应商后有权对成交产品的款式规格做适当调整。</w:t>
      </w:r>
      <w:r>
        <w:rPr>
          <w:rFonts w:ascii="仿宋" w:hAnsi="仿宋" w:eastAsia="仿宋" w:cs="Times New Roman"/>
          <w:kern w:val="2"/>
          <w:sz w:val="32"/>
          <w:szCs w:val="32"/>
        </w:rPr>
        <w:br w:type="textWrapping"/>
      </w:r>
      <w:r>
        <w:rPr>
          <w:rFonts w:ascii="仿宋" w:hAnsi="仿宋" w:eastAsia="仿宋" w:cs="Times New Roman"/>
          <w:kern w:val="2"/>
          <w:sz w:val="32"/>
          <w:szCs w:val="32"/>
        </w:rPr>
        <w:t>13</w:t>
      </w:r>
      <w:r>
        <w:rPr>
          <w:rFonts w:hint="eastAsia" w:ascii="仿宋" w:hAnsi="仿宋" w:eastAsia="仿宋" w:cs="仿宋_GB2312"/>
          <w:kern w:val="2"/>
          <w:sz w:val="32"/>
          <w:szCs w:val="32"/>
        </w:rPr>
        <w:t>、售后服务：系统组网</w:t>
      </w:r>
      <w:r>
        <w:rPr>
          <w:rFonts w:ascii="仿宋" w:hAnsi="仿宋" w:eastAsia="仿宋" w:cs="仿宋_GB2312"/>
          <w:kern w:val="2"/>
          <w:sz w:val="32"/>
          <w:szCs w:val="32"/>
        </w:rPr>
        <w:t>工程</w:t>
      </w:r>
      <w:r>
        <w:rPr>
          <w:rFonts w:hint="eastAsia" w:ascii="仿宋" w:hAnsi="仿宋" w:eastAsia="仿宋" w:cs="仿宋_GB2312"/>
          <w:kern w:val="2"/>
          <w:sz w:val="32"/>
          <w:szCs w:val="32"/>
        </w:rPr>
        <w:t>保修</w:t>
      </w:r>
      <w:r>
        <w:rPr>
          <w:rFonts w:ascii="仿宋" w:hAnsi="仿宋" w:eastAsia="仿宋" w:cs="仿宋_GB2312"/>
          <w:kern w:val="2"/>
          <w:sz w:val="32"/>
          <w:szCs w:val="32"/>
        </w:rPr>
        <w:t>三年，广域网管理软件</w:t>
      </w:r>
      <w:r>
        <w:rPr>
          <w:rFonts w:hint="eastAsia" w:ascii="仿宋" w:hAnsi="仿宋" w:eastAsia="仿宋" w:cs="仿宋_GB2312"/>
          <w:kern w:val="2"/>
          <w:sz w:val="32"/>
          <w:szCs w:val="32"/>
        </w:rPr>
        <w:t>终身</w:t>
      </w:r>
      <w:r>
        <w:rPr>
          <w:rFonts w:ascii="仿宋" w:hAnsi="仿宋" w:eastAsia="仿宋" w:cs="仿宋_GB2312"/>
          <w:kern w:val="2"/>
          <w:sz w:val="32"/>
          <w:szCs w:val="32"/>
        </w:rPr>
        <w:t>免费保修。</w:t>
      </w:r>
    </w:p>
    <w:p>
      <w:pPr>
        <w:pStyle w:val="7"/>
        <w:widowControl/>
        <w:spacing w:beforeAutospacing="0" w:afterAutospacing="0" w:line="450" w:lineRule="atLeast"/>
        <w:rPr>
          <w:rFonts w:ascii="仿宋" w:hAnsi="仿宋" w:eastAsia="仿宋" w:cs="Times New Roman"/>
          <w:kern w:val="2"/>
          <w:sz w:val="32"/>
          <w:szCs w:val="32"/>
        </w:rPr>
      </w:pPr>
      <w:r>
        <w:rPr>
          <w:rFonts w:ascii="仿宋" w:hAnsi="仿宋" w:eastAsia="仿宋" w:cs="Times New Roman"/>
          <w:kern w:val="2"/>
          <w:sz w:val="32"/>
          <w:szCs w:val="32"/>
        </w:rPr>
        <w:t>14</w:t>
      </w:r>
      <w:r>
        <w:rPr>
          <w:rFonts w:hint="eastAsia" w:ascii="仿宋" w:hAnsi="仿宋" w:eastAsia="仿宋" w:cs="仿宋_GB2312"/>
          <w:kern w:val="2"/>
          <w:sz w:val="32"/>
          <w:szCs w:val="32"/>
        </w:rPr>
        <w:t>、报价方不得虚报各项技术指标，所供服务技术若不能符合技术要求，成交供应商必须接受全额退还货款，并承担由此给采购单位造成的</w:t>
      </w:r>
      <w:r>
        <w:fldChar w:fldCharType="begin"/>
      </w:r>
      <w:r>
        <w:instrText xml:space="preserve"> HYPERLINK "http://www.lwlm.com/Economy/" \t "http://www.lwlm.com/zixunxin/201211/_blank" </w:instrText>
      </w:r>
      <w:r>
        <w:fldChar w:fldCharType="separate"/>
      </w:r>
      <w:r>
        <w:rPr>
          <w:rFonts w:hint="eastAsia" w:ascii="仿宋" w:hAnsi="仿宋" w:eastAsia="仿宋" w:cs="仿宋_GB2312"/>
          <w:kern w:val="2"/>
          <w:sz w:val="32"/>
          <w:szCs w:val="32"/>
        </w:rPr>
        <w:t>经济</w:t>
      </w:r>
      <w:r>
        <w:rPr>
          <w:rFonts w:hint="eastAsia" w:ascii="仿宋" w:hAnsi="仿宋" w:eastAsia="仿宋" w:cs="仿宋_GB2312"/>
          <w:kern w:val="2"/>
          <w:sz w:val="32"/>
          <w:szCs w:val="32"/>
        </w:rPr>
        <w:fldChar w:fldCharType="end"/>
      </w:r>
      <w:r>
        <w:rPr>
          <w:rFonts w:hint="eastAsia" w:ascii="仿宋" w:hAnsi="仿宋" w:eastAsia="仿宋" w:cs="仿宋_GB2312"/>
          <w:kern w:val="2"/>
          <w:sz w:val="32"/>
          <w:szCs w:val="32"/>
        </w:rPr>
        <w:t>损失。</w:t>
      </w:r>
      <w:r>
        <w:rPr>
          <w:rFonts w:ascii="仿宋" w:hAnsi="仿宋" w:eastAsia="仿宋" w:cs="Times New Roman"/>
          <w:kern w:val="2"/>
          <w:sz w:val="32"/>
          <w:szCs w:val="32"/>
        </w:rPr>
        <w:br w:type="textWrapping"/>
      </w:r>
      <w:r>
        <w:rPr>
          <w:rFonts w:ascii="仿宋" w:hAnsi="仿宋" w:eastAsia="仿宋" w:cs="Times New Roman"/>
          <w:kern w:val="2"/>
          <w:sz w:val="32"/>
          <w:szCs w:val="32"/>
        </w:rPr>
        <w:t>15</w:t>
      </w:r>
      <w:r>
        <w:rPr>
          <w:rFonts w:hint="eastAsia" w:ascii="仿宋" w:hAnsi="仿宋" w:eastAsia="仿宋" w:cs="仿宋_GB2312"/>
          <w:kern w:val="2"/>
          <w:sz w:val="32"/>
          <w:szCs w:val="32"/>
        </w:rPr>
        <w:t>、评审、定标原则：</w:t>
      </w:r>
      <w:r>
        <w:rPr>
          <w:rFonts w:hint="eastAsia" w:ascii="仿宋" w:hAnsi="仿宋" w:eastAsia="仿宋"/>
          <w:sz w:val="32"/>
          <w:szCs w:val="32"/>
        </w:rPr>
        <w:t>满足技术、</w:t>
      </w:r>
      <w:r>
        <w:rPr>
          <w:rFonts w:ascii="仿宋" w:hAnsi="仿宋" w:eastAsia="仿宋"/>
          <w:sz w:val="32"/>
          <w:szCs w:val="32"/>
        </w:rPr>
        <w:t>质量</w:t>
      </w:r>
      <w:r>
        <w:rPr>
          <w:rFonts w:hint="eastAsia" w:ascii="仿宋" w:hAnsi="仿宋" w:eastAsia="仿宋"/>
          <w:sz w:val="32"/>
          <w:szCs w:val="32"/>
        </w:rPr>
        <w:t>和</w:t>
      </w:r>
      <w:r>
        <w:rPr>
          <w:rFonts w:ascii="仿宋" w:hAnsi="仿宋" w:eastAsia="仿宋"/>
          <w:sz w:val="32"/>
          <w:szCs w:val="32"/>
        </w:rPr>
        <w:t>售后服务要求</w:t>
      </w:r>
      <w:r>
        <w:rPr>
          <w:rFonts w:hint="eastAsia" w:ascii="仿宋" w:hAnsi="仿宋" w:eastAsia="仿宋"/>
          <w:sz w:val="32"/>
          <w:szCs w:val="32"/>
        </w:rPr>
        <w:t>下，按</w:t>
      </w:r>
      <w:r>
        <w:rPr>
          <w:rFonts w:ascii="仿宋" w:hAnsi="仿宋" w:eastAsia="仿宋"/>
          <w:sz w:val="32"/>
          <w:szCs w:val="32"/>
        </w:rPr>
        <w:t>价低者选择供应商</w:t>
      </w:r>
      <w:r>
        <w:rPr>
          <w:rFonts w:hint="eastAsia" w:ascii="仿宋" w:hAnsi="仿宋" w:eastAsia="仿宋" w:cs="仿宋_GB2312"/>
          <w:kern w:val="2"/>
          <w:sz w:val="32"/>
          <w:szCs w:val="32"/>
        </w:rPr>
        <w:t>；在此基础上价格若相同的，以售后服务承诺最优者为成交供应商。</w:t>
      </w:r>
      <w:r>
        <w:rPr>
          <w:rFonts w:ascii="仿宋" w:hAnsi="仿宋" w:eastAsia="仿宋" w:cs="Times New Roman"/>
          <w:kern w:val="2"/>
          <w:sz w:val="32"/>
          <w:szCs w:val="32"/>
        </w:rPr>
        <w:br w:type="textWrapping"/>
      </w:r>
      <w:r>
        <w:rPr>
          <w:rFonts w:ascii="仿宋" w:hAnsi="仿宋" w:eastAsia="仿宋" w:cs="Times New Roman"/>
          <w:kern w:val="2"/>
          <w:sz w:val="32"/>
          <w:szCs w:val="32"/>
        </w:rPr>
        <w:t>16</w:t>
      </w:r>
      <w:r>
        <w:rPr>
          <w:rFonts w:hint="eastAsia" w:ascii="仿宋" w:hAnsi="仿宋" w:eastAsia="仿宋" w:cs="仿宋_GB2312"/>
          <w:kern w:val="2"/>
          <w:sz w:val="32"/>
          <w:szCs w:val="32"/>
        </w:rPr>
        <w:t>、验收方法及标准</w:t>
      </w:r>
      <w:r>
        <w:rPr>
          <w:rFonts w:ascii="仿宋" w:hAnsi="仿宋" w:eastAsia="仿宋" w:cs="Times New Roman"/>
          <w:kern w:val="2"/>
          <w:sz w:val="32"/>
          <w:szCs w:val="32"/>
        </w:rPr>
        <w:br w:type="textWrapping"/>
      </w:r>
      <w:r>
        <w:rPr>
          <w:rFonts w:hint="eastAsia" w:ascii="仿宋" w:hAnsi="仿宋" w:eastAsia="仿宋" w:cs="仿宋_GB2312"/>
          <w:kern w:val="2"/>
          <w:sz w:val="32"/>
          <w:szCs w:val="32"/>
        </w:rPr>
        <w:t>（</w:t>
      </w:r>
      <w:r>
        <w:rPr>
          <w:rFonts w:ascii="仿宋" w:hAnsi="仿宋" w:eastAsia="仿宋" w:cs="Times New Roman"/>
          <w:kern w:val="2"/>
          <w:sz w:val="32"/>
          <w:szCs w:val="32"/>
        </w:rPr>
        <w:t>1</w:t>
      </w:r>
      <w:r>
        <w:rPr>
          <w:rFonts w:hint="eastAsia" w:ascii="仿宋" w:hAnsi="仿宋" w:eastAsia="仿宋" w:cs="仿宋_GB2312"/>
          <w:kern w:val="2"/>
          <w:sz w:val="32"/>
          <w:szCs w:val="32"/>
        </w:rPr>
        <w:t>）、验收依据：询价通知书、询价报价、询价响应文件、厂家技术标准说明及国家有关的质量标准规定，均为验收依据；</w:t>
      </w:r>
      <w:r>
        <w:rPr>
          <w:rFonts w:ascii="仿宋" w:hAnsi="仿宋" w:eastAsia="仿宋" w:cs="Times New Roman"/>
          <w:kern w:val="2"/>
          <w:sz w:val="32"/>
          <w:szCs w:val="32"/>
        </w:rPr>
        <w:br w:type="textWrapping"/>
      </w:r>
      <w:r>
        <w:rPr>
          <w:rFonts w:hint="eastAsia" w:ascii="仿宋" w:hAnsi="仿宋" w:eastAsia="仿宋" w:cs="仿宋_GB2312"/>
          <w:kern w:val="2"/>
          <w:sz w:val="32"/>
          <w:szCs w:val="32"/>
        </w:rPr>
        <w:t>（</w:t>
      </w:r>
      <w:r>
        <w:rPr>
          <w:rFonts w:ascii="仿宋" w:hAnsi="仿宋" w:eastAsia="仿宋" w:cs="Times New Roman"/>
          <w:kern w:val="2"/>
          <w:sz w:val="32"/>
          <w:szCs w:val="32"/>
        </w:rPr>
        <w:t>2</w:t>
      </w:r>
      <w:r>
        <w:rPr>
          <w:rFonts w:hint="eastAsia" w:ascii="仿宋" w:hAnsi="仿宋" w:eastAsia="仿宋" w:cs="仿宋_GB2312"/>
          <w:kern w:val="2"/>
          <w:sz w:val="32"/>
          <w:szCs w:val="32"/>
        </w:rPr>
        <w:t>）、技术验收：双方对照采购清单及技术要求进行验收。</w:t>
      </w:r>
      <w:r>
        <w:rPr>
          <w:rFonts w:ascii="仿宋" w:hAnsi="仿宋" w:eastAsia="仿宋" w:cs="Times New Roman"/>
          <w:kern w:val="2"/>
          <w:sz w:val="32"/>
          <w:szCs w:val="32"/>
        </w:rPr>
        <w:br w:type="textWrapping"/>
      </w:r>
      <w:r>
        <w:rPr>
          <w:rFonts w:ascii="仿宋" w:hAnsi="仿宋" w:eastAsia="仿宋" w:cs="Times New Roman"/>
          <w:kern w:val="2"/>
          <w:sz w:val="32"/>
          <w:szCs w:val="32"/>
        </w:rPr>
        <w:t>17</w:t>
      </w:r>
      <w:r>
        <w:rPr>
          <w:rFonts w:hint="eastAsia" w:ascii="仿宋" w:hAnsi="仿宋" w:eastAsia="仿宋" w:cs="仿宋_GB2312"/>
          <w:kern w:val="2"/>
          <w:sz w:val="32"/>
          <w:szCs w:val="32"/>
        </w:rPr>
        <w:t>、出现下列情况之一者，投标文件无效，作为废标处理：</w:t>
      </w:r>
      <w:r>
        <w:rPr>
          <w:rFonts w:ascii="仿宋" w:hAnsi="仿宋" w:eastAsia="仿宋" w:cs="Times New Roman"/>
          <w:kern w:val="2"/>
          <w:sz w:val="32"/>
          <w:szCs w:val="32"/>
        </w:rPr>
        <w:br w:type="textWrapping"/>
      </w:r>
      <w:r>
        <w:rPr>
          <w:rFonts w:hint="eastAsia" w:ascii="仿宋" w:hAnsi="仿宋" w:eastAsia="仿宋" w:cs="仿宋_GB2312"/>
          <w:kern w:val="2"/>
          <w:sz w:val="32"/>
          <w:szCs w:val="32"/>
        </w:rPr>
        <w:t>（</w:t>
      </w:r>
      <w:r>
        <w:rPr>
          <w:rFonts w:ascii="仿宋" w:hAnsi="仿宋" w:eastAsia="仿宋" w:cs="Times New Roman"/>
          <w:kern w:val="2"/>
          <w:sz w:val="32"/>
          <w:szCs w:val="32"/>
        </w:rPr>
        <w:t>1</w:t>
      </w:r>
      <w:r>
        <w:rPr>
          <w:rFonts w:hint="eastAsia" w:ascii="仿宋" w:hAnsi="仿宋" w:eastAsia="仿宋" w:cs="仿宋_GB2312"/>
          <w:kern w:val="2"/>
          <w:sz w:val="32"/>
          <w:szCs w:val="32"/>
        </w:rPr>
        <w:t>）未提供营业执照有效复印件（加盖投标企业公章）；</w:t>
      </w:r>
      <w:r>
        <w:rPr>
          <w:rFonts w:ascii="仿宋" w:hAnsi="仿宋" w:eastAsia="仿宋" w:cs="Times New Roman"/>
          <w:kern w:val="2"/>
          <w:sz w:val="32"/>
          <w:szCs w:val="32"/>
        </w:rPr>
        <w:br w:type="textWrapping"/>
      </w:r>
      <w:r>
        <w:rPr>
          <w:rFonts w:hint="eastAsia" w:ascii="仿宋" w:hAnsi="仿宋" w:eastAsia="仿宋" w:cs="仿宋_GB2312"/>
          <w:kern w:val="2"/>
          <w:sz w:val="32"/>
          <w:szCs w:val="32"/>
        </w:rPr>
        <w:t>（</w:t>
      </w:r>
      <w:r>
        <w:rPr>
          <w:rFonts w:ascii="仿宋" w:hAnsi="仿宋" w:eastAsia="仿宋" w:cs="Times New Roman"/>
          <w:kern w:val="2"/>
          <w:sz w:val="32"/>
          <w:szCs w:val="32"/>
        </w:rPr>
        <w:t>2</w:t>
      </w:r>
      <w:r>
        <w:rPr>
          <w:rFonts w:hint="eastAsia" w:ascii="仿宋" w:hAnsi="仿宋" w:eastAsia="仿宋" w:cs="仿宋_GB2312"/>
          <w:kern w:val="2"/>
          <w:sz w:val="32"/>
          <w:szCs w:val="32"/>
        </w:rPr>
        <w:t>）询价响应文件字迹模糊不清（包括提交的各类复印件、图纸）；</w:t>
      </w:r>
      <w:r>
        <w:rPr>
          <w:rFonts w:ascii="仿宋" w:hAnsi="仿宋" w:eastAsia="仿宋" w:cs="Times New Roman"/>
          <w:kern w:val="2"/>
          <w:sz w:val="32"/>
          <w:szCs w:val="32"/>
        </w:rPr>
        <w:br w:type="textWrapping"/>
      </w:r>
      <w:r>
        <w:rPr>
          <w:rFonts w:hint="eastAsia" w:ascii="仿宋" w:hAnsi="仿宋" w:eastAsia="仿宋" w:cs="仿宋_GB2312"/>
          <w:kern w:val="2"/>
          <w:sz w:val="32"/>
          <w:szCs w:val="32"/>
        </w:rPr>
        <w:t>（</w:t>
      </w:r>
      <w:r>
        <w:rPr>
          <w:rFonts w:ascii="仿宋" w:hAnsi="仿宋" w:eastAsia="仿宋" w:cs="Times New Roman"/>
          <w:kern w:val="2"/>
          <w:sz w:val="32"/>
          <w:szCs w:val="32"/>
        </w:rPr>
        <w:t>3</w:t>
      </w:r>
      <w:r>
        <w:rPr>
          <w:rFonts w:hint="eastAsia" w:ascii="仿宋" w:hAnsi="仿宋" w:eastAsia="仿宋" w:cs="仿宋_GB2312"/>
          <w:kern w:val="2"/>
          <w:sz w:val="32"/>
          <w:szCs w:val="32"/>
        </w:rPr>
        <w:t>）询价响应内容、技术标准、售后服务没有实质性响应询价文件要求；</w:t>
      </w:r>
      <w:r>
        <w:rPr>
          <w:rFonts w:ascii="仿宋" w:hAnsi="仿宋" w:eastAsia="仿宋" w:cs="Times New Roman"/>
          <w:kern w:val="2"/>
          <w:sz w:val="32"/>
          <w:szCs w:val="32"/>
        </w:rPr>
        <w:br w:type="textWrapping"/>
      </w:r>
      <w:r>
        <w:rPr>
          <w:rFonts w:hint="eastAsia" w:ascii="仿宋" w:hAnsi="仿宋" w:eastAsia="仿宋" w:cs="仿宋_GB2312"/>
          <w:kern w:val="2"/>
          <w:sz w:val="32"/>
          <w:szCs w:val="32"/>
        </w:rPr>
        <w:t>（</w:t>
      </w:r>
      <w:r>
        <w:rPr>
          <w:rFonts w:ascii="仿宋" w:hAnsi="仿宋" w:eastAsia="仿宋" w:cs="Times New Roman"/>
          <w:kern w:val="2"/>
          <w:sz w:val="32"/>
          <w:szCs w:val="32"/>
        </w:rPr>
        <w:t>4</w:t>
      </w:r>
      <w:r>
        <w:rPr>
          <w:rFonts w:hint="eastAsia" w:ascii="仿宋" w:hAnsi="仿宋" w:eastAsia="仿宋" w:cs="仿宋_GB2312"/>
          <w:kern w:val="2"/>
          <w:sz w:val="32"/>
          <w:szCs w:val="32"/>
        </w:rPr>
        <w:t>）未提供询价响应文件、报价一览表、售后服务体系说明及售后服务承诺。</w:t>
      </w:r>
      <w:r>
        <w:rPr>
          <w:rFonts w:ascii="仿宋" w:hAnsi="仿宋" w:eastAsia="仿宋" w:cs="Times New Roman"/>
          <w:kern w:val="2"/>
          <w:sz w:val="32"/>
          <w:szCs w:val="32"/>
        </w:rPr>
        <w:br w:type="textWrapping"/>
      </w:r>
      <w:r>
        <w:rPr>
          <w:rFonts w:ascii="仿宋" w:hAnsi="仿宋" w:eastAsia="仿宋" w:cs="Times New Roman"/>
          <w:kern w:val="2"/>
          <w:sz w:val="32"/>
          <w:szCs w:val="32"/>
        </w:rPr>
        <w:t>18</w:t>
      </w:r>
      <w:r>
        <w:rPr>
          <w:rFonts w:hint="eastAsia" w:ascii="仿宋" w:hAnsi="仿宋" w:eastAsia="仿宋" w:cs="仿宋_GB2312"/>
          <w:kern w:val="2"/>
          <w:sz w:val="32"/>
          <w:szCs w:val="32"/>
        </w:rPr>
        <w:t>、询价项目报价文件提交的时间及地点：</w:t>
      </w:r>
    </w:p>
    <w:p>
      <w:pPr>
        <w:pStyle w:val="7"/>
        <w:widowControl/>
        <w:spacing w:beforeAutospacing="0" w:afterAutospacing="0" w:line="450" w:lineRule="atLeast"/>
        <w:rPr>
          <w:rFonts w:ascii="仿宋" w:hAnsi="仿宋" w:eastAsia="仿宋" w:cs="Times New Roman"/>
          <w:kern w:val="2"/>
          <w:sz w:val="32"/>
          <w:szCs w:val="32"/>
        </w:rPr>
      </w:pPr>
      <w:r>
        <w:rPr>
          <w:rFonts w:hint="eastAsia" w:ascii="仿宋" w:hAnsi="仿宋" w:eastAsia="仿宋" w:cs="仿宋_GB2312"/>
          <w:kern w:val="2"/>
          <w:sz w:val="32"/>
          <w:szCs w:val="32"/>
        </w:rPr>
        <w:t>时间：</w:t>
      </w:r>
      <w:r>
        <w:rPr>
          <w:rFonts w:ascii="仿宋" w:hAnsi="仿宋" w:eastAsia="仿宋" w:cs="Times New Roman"/>
          <w:kern w:val="2"/>
          <w:sz w:val="32"/>
          <w:szCs w:val="32"/>
        </w:rPr>
        <w:t>2017</w:t>
      </w:r>
      <w:r>
        <w:rPr>
          <w:rFonts w:hint="eastAsia" w:ascii="仿宋" w:hAnsi="仿宋" w:eastAsia="仿宋" w:cs="仿宋_GB2312"/>
          <w:kern w:val="2"/>
          <w:sz w:val="32"/>
          <w:szCs w:val="32"/>
        </w:rPr>
        <w:t>年</w:t>
      </w:r>
      <w:r>
        <w:rPr>
          <w:rFonts w:ascii="仿宋" w:hAnsi="仿宋" w:eastAsia="仿宋" w:cs="Times New Roman"/>
          <w:kern w:val="2"/>
          <w:sz w:val="32"/>
          <w:szCs w:val="32"/>
        </w:rPr>
        <w:t>10</w:t>
      </w:r>
      <w:r>
        <w:rPr>
          <w:rFonts w:hint="eastAsia" w:ascii="仿宋" w:hAnsi="仿宋" w:eastAsia="仿宋" w:cs="仿宋_GB2312"/>
          <w:kern w:val="2"/>
          <w:sz w:val="32"/>
          <w:szCs w:val="32"/>
        </w:rPr>
        <w:t>月</w:t>
      </w:r>
      <w:r>
        <w:rPr>
          <w:rFonts w:hint="eastAsia" w:ascii="仿宋" w:hAnsi="仿宋" w:eastAsia="仿宋" w:cs="Times New Roman"/>
          <w:kern w:val="2"/>
          <w:sz w:val="32"/>
          <w:szCs w:val="32"/>
          <w:lang w:val="en-US" w:eastAsia="zh-CN"/>
        </w:rPr>
        <w:t>12</w:t>
      </w:r>
      <w:bookmarkStart w:id="8" w:name="_GoBack"/>
      <w:bookmarkEnd w:id="8"/>
      <w:r>
        <w:rPr>
          <w:rFonts w:hint="eastAsia" w:ascii="仿宋" w:hAnsi="仿宋" w:eastAsia="仿宋" w:cs="仿宋_GB2312"/>
          <w:kern w:val="2"/>
          <w:sz w:val="32"/>
          <w:szCs w:val="32"/>
        </w:rPr>
        <w:t>日上午</w:t>
      </w:r>
      <w:r>
        <w:rPr>
          <w:rFonts w:ascii="仿宋" w:hAnsi="仿宋" w:eastAsia="仿宋" w:cs="仿宋_GB2312"/>
          <w:kern w:val="2"/>
          <w:sz w:val="32"/>
          <w:szCs w:val="32"/>
        </w:rPr>
        <w:t>9</w:t>
      </w:r>
      <w:r>
        <w:rPr>
          <w:rFonts w:hint="eastAsia" w:ascii="仿宋" w:hAnsi="仿宋" w:eastAsia="仿宋" w:cs="仿宋_GB2312"/>
          <w:kern w:val="2"/>
          <w:sz w:val="32"/>
          <w:szCs w:val="32"/>
        </w:rPr>
        <w:t>时</w:t>
      </w:r>
      <w:r>
        <w:rPr>
          <w:rFonts w:ascii="仿宋" w:hAnsi="仿宋" w:eastAsia="仿宋" w:cs="Times New Roman"/>
          <w:kern w:val="2"/>
          <w:sz w:val="32"/>
          <w:szCs w:val="32"/>
        </w:rPr>
        <w:t>00</w:t>
      </w:r>
      <w:r>
        <w:rPr>
          <w:rFonts w:hint="eastAsia" w:ascii="仿宋" w:hAnsi="仿宋" w:eastAsia="仿宋" w:cs="仿宋_GB2312"/>
          <w:kern w:val="2"/>
          <w:sz w:val="32"/>
          <w:szCs w:val="32"/>
        </w:rPr>
        <w:t>分，逾时作自动放弃。</w:t>
      </w:r>
    </w:p>
    <w:p>
      <w:pPr>
        <w:pStyle w:val="7"/>
        <w:widowControl/>
        <w:spacing w:beforeAutospacing="0" w:afterAutospacing="0" w:line="450" w:lineRule="atLeast"/>
        <w:rPr>
          <w:rFonts w:ascii="仿宋" w:hAnsi="仿宋" w:eastAsia="仿宋" w:cs="Times New Roman"/>
          <w:kern w:val="2"/>
          <w:sz w:val="32"/>
          <w:szCs w:val="32"/>
        </w:rPr>
      </w:pPr>
      <w:r>
        <w:rPr>
          <w:rFonts w:hint="eastAsia" w:ascii="仿宋" w:hAnsi="仿宋" w:eastAsia="仿宋" w:cs="仿宋_GB2312"/>
          <w:kern w:val="2"/>
          <w:sz w:val="32"/>
          <w:szCs w:val="32"/>
        </w:rPr>
        <w:t>地点：广州市越秀区东风西路</w:t>
      </w:r>
      <w:r>
        <w:rPr>
          <w:rFonts w:ascii="仿宋" w:hAnsi="仿宋" w:eastAsia="仿宋" w:cs="Times New Roman"/>
          <w:kern w:val="2"/>
          <w:sz w:val="32"/>
          <w:szCs w:val="32"/>
        </w:rPr>
        <w:t>167</w:t>
      </w:r>
      <w:r>
        <w:rPr>
          <w:rFonts w:hint="eastAsia" w:ascii="仿宋" w:hAnsi="仿宋" w:eastAsia="仿宋" w:cs="仿宋_GB2312"/>
          <w:kern w:val="2"/>
          <w:sz w:val="32"/>
          <w:szCs w:val="32"/>
        </w:rPr>
        <w:t>号广州市少年宫教育教研部</w:t>
      </w:r>
    </w:p>
    <w:p>
      <w:pPr>
        <w:pStyle w:val="7"/>
        <w:widowControl/>
        <w:spacing w:beforeAutospacing="0" w:afterAutospacing="0" w:line="450" w:lineRule="atLeast"/>
        <w:rPr>
          <w:rFonts w:ascii="仿宋" w:hAnsi="仿宋" w:eastAsia="仿宋" w:cs="Times New Roman"/>
          <w:kern w:val="2"/>
          <w:sz w:val="32"/>
          <w:szCs w:val="32"/>
        </w:rPr>
      </w:pPr>
      <w:r>
        <w:rPr>
          <w:rFonts w:hint="eastAsia" w:ascii="仿宋" w:hAnsi="仿宋" w:eastAsia="仿宋" w:cs="仿宋_GB2312"/>
          <w:kern w:val="2"/>
          <w:sz w:val="32"/>
          <w:szCs w:val="32"/>
        </w:rPr>
        <w:t>项目咨询电话：</w:t>
      </w:r>
      <w:r>
        <w:rPr>
          <w:rFonts w:ascii="仿宋" w:hAnsi="仿宋" w:eastAsia="仿宋" w:cs="Times New Roman"/>
          <w:kern w:val="2"/>
          <w:sz w:val="32"/>
          <w:szCs w:val="32"/>
        </w:rPr>
        <w:t>020-8136</w:t>
      </w:r>
      <w:r>
        <w:rPr>
          <w:rFonts w:hint="eastAsia" w:ascii="仿宋" w:hAnsi="仿宋" w:eastAsia="仿宋" w:cs="Times New Roman"/>
          <w:kern w:val="2"/>
          <w:sz w:val="32"/>
          <w:szCs w:val="32"/>
        </w:rPr>
        <w:t>0560</w:t>
      </w:r>
    </w:p>
    <w:p>
      <w:pPr>
        <w:pStyle w:val="7"/>
        <w:widowControl/>
        <w:spacing w:beforeAutospacing="0" w:afterAutospacing="0" w:line="450" w:lineRule="atLeast"/>
        <w:rPr>
          <w:rFonts w:ascii="仿宋" w:hAnsi="仿宋" w:eastAsia="仿宋" w:cs="Times New Roman"/>
          <w:kern w:val="2"/>
          <w:sz w:val="32"/>
          <w:szCs w:val="32"/>
        </w:rPr>
      </w:pPr>
      <w:r>
        <w:rPr>
          <w:rFonts w:hint="eastAsia" w:ascii="仿宋" w:hAnsi="仿宋" w:eastAsia="仿宋" w:cs="仿宋_GB2312"/>
          <w:kern w:val="2"/>
          <w:sz w:val="32"/>
          <w:szCs w:val="32"/>
        </w:rPr>
        <w:t>联系人：庞老师</w:t>
      </w:r>
    </w:p>
    <w:p/>
    <w:p/>
    <w:p/>
    <w:p/>
    <w:p/>
    <w:p/>
    <w:p/>
    <w:p/>
    <w:p/>
    <w:p/>
    <w:p/>
    <w:p/>
    <w:p/>
    <w:p/>
    <w:p/>
    <w:p/>
    <w:p/>
    <w:p/>
    <w:p/>
    <w:p/>
    <w:p/>
    <w:p/>
    <w:p/>
    <w:p/>
    <w:p/>
    <w:p/>
    <w:p/>
    <w:p/>
    <w:p/>
    <w:p/>
    <w:p/>
    <w:p/>
    <w:p/>
    <w:p/>
    <w:p/>
    <w:p>
      <w:pPr>
        <w:rPr>
          <w:rFonts w:hint="eastAsia"/>
        </w:rPr>
      </w:pPr>
    </w:p>
    <w:p>
      <w:pP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附件</w:t>
      </w:r>
      <w:r>
        <w:rPr>
          <w:rFonts w:ascii="仿宋_GB2312" w:hAnsi="仿宋_GB2312" w:eastAsia="仿宋_GB2312" w:cs="仿宋_GB2312"/>
          <w:bCs/>
          <w:sz w:val="32"/>
          <w:szCs w:val="32"/>
        </w:rPr>
        <w:t>：</w:t>
      </w:r>
      <w:r>
        <w:rPr>
          <w:rFonts w:hint="eastAsia" w:ascii="仿宋_GB2312" w:hAnsi="仿宋_GB2312" w:eastAsia="仿宋_GB2312" w:cs="仿宋_GB2312"/>
          <w:bCs/>
          <w:sz w:val="32"/>
          <w:szCs w:val="32"/>
        </w:rPr>
        <w:t>在线式广域网考勤管理软件功能要求</w:t>
      </w:r>
    </w:p>
    <w:p>
      <w:pPr>
        <w:rPr>
          <w:rFonts w:ascii="仿宋_GB2312" w:hAnsi="仿宋_GB2312" w:eastAsia="仿宋_GB2312" w:cs="仿宋_GB2312"/>
          <w:b/>
          <w:sz w:val="32"/>
          <w:szCs w:val="32"/>
        </w:rPr>
      </w:pPr>
      <w:bookmarkStart w:id="0" w:name="_Toc380143205"/>
      <w:r>
        <w:rPr>
          <w:rFonts w:hint="eastAsia" w:ascii="仿宋_GB2312" w:hAnsi="仿宋_GB2312" w:eastAsia="仿宋_GB2312" w:cs="仿宋_GB2312"/>
          <w:b/>
          <w:sz w:val="32"/>
          <w:szCs w:val="32"/>
        </w:rPr>
        <w:t>一、系统登录</w:t>
      </w:r>
      <w:bookmarkEnd w:id="0"/>
    </w:p>
    <w:p>
      <w:pPr>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1.系统登录：可通过输入用户名和密码登录广域网考勤系统（系统内容根据当前登录用户的权限而定）。如忘记系统登录密码，可点击登录界面的忘记密码选项找回登录密码。</w:t>
      </w:r>
    </w:p>
    <w:p>
      <w:pPr>
        <w:rPr>
          <w:rFonts w:ascii="仿宋_GB2312" w:hAnsi="仿宋_GB2312" w:eastAsia="仿宋_GB2312" w:cs="仿宋_GB2312"/>
          <w:bCs/>
          <w:sz w:val="32"/>
          <w:szCs w:val="32"/>
        </w:rPr>
      </w:pPr>
      <w:bookmarkStart w:id="1" w:name="_Toc380143206"/>
      <w:r>
        <w:rPr>
          <w:rFonts w:hint="eastAsia" w:ascii="仿宋_GB2312" w:hAnsi="仿宋_GB2312" w:eastAsia="仿宋_GB2312" w:cs="仿宋_GB2312"/>
          <w:b/>
          <w:sz w:val="32"/>
          <w:szCs w:val="32"/>
        </w:rPr>
        <w:t>二、人事资料管理</w:t>
      </w:r>
      <w:bookmarkEnd w:id="1"/>
    </w:p>
    <w:p>
      <w:pPr>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1.人事资料管理：主要为公司部门及人员的增删改查，可以对人员进行离职或再入职等操作，也可将人员列表导出为Excel格式文件等；</w:t>
      </w:r>
    </w:p>
    <w:p>
      <w:pPr>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2.年假管理：主要是设定年假规则，自动生成用户年假以及年假查询等；</w:t>
      </w:r>
    </w:p>
    <w:p>
      <w:pPr>
        <w:rPr>
          <w:rFonts w:ascii="仿宋_GB2312" w:hAnsi="仿宋_GB2312" w:eastAsia="仿宋_GB2312" w:cs="仿宋_GB2312"/>
          <w:bCs/>
          <w:sz w:val="32"/>
          <w:szCs w:val="32"/>
        </w:rPr>
      </w:pPr>
      <w:bookmarkStart w:id="2" w:name="_Toc380143207"/>
      <w:r>
        <w:rPr>
          <w:rFonts w:hint="eastAsia" w:ascii="仿宋_GB2312" w:hAnsi="仿宋_GB2312" w:eastAsia="仿宋_GB2312" w:cs="仿宋_GB2312"/>
          <w:b/>
          <w:sz w:val="32"/>
          <w:szCs w:val="32"/>
        </w:rPr>
        <w:t>三、设备管理</w:t>
      </w:r>
      <w:bookmarkEnd w:id="2"/>
    </w:p>
    <w:p>
      <w:pPr>
        <w:ind w:firstLine="640" w:firstLineChars="200"/>
        <w:rPr>
          <w:rFonts w:ascii="仿宋_GB2312" w:hAnsi="仿宋_GB2312" w:eastAsia="仿宋_GB2312" w:cs="仿宋_GB2312"/>
          <w:bCs/>
          <w:sz w:val="32"/>
          <w:szCs w:val="32"/>
        </w:rPr>
      </w:pPr>
      <w:bookmarkStart w:id="3" w:name="OLE_LINK21"/>
      <w:bookmarkEnd w:id="3"/>
      <w:bookmarkStart w:id="4" w:name="OLE_LINK20"/>
      <w:r>
        <w:rPr>
          <w:rFonts w:hint="eastAsia" w:ascii="仿宋_GB2312" w:hAnsi="仿宋_GB2312" w:eastAsia="仿宋_GB2312" w:cs="仿宋_GB2312"/>
          <w:bCs/>
          <w:sz w:val="32"/>
          <w:szCs w:val="32"/>
        </w:rPr>
        <w:t>1.考勤机管理：</w:t>
      </w:r>
      <w:bookmarkEnd w:id="4"/>
      <w:r>
        <w:rPr>
          <w:rFonts w:hint="eastAsia" w:ascii="仿宋_GB2312" w:hAnsi="仿宋_GB2312" w:eastAsia="仿宋_GB2312" w:cs="仿宋_GB2312"/>
          <w:bCs/>
          <w:sz w:val="32"/>
          <w:szCs w:val="32"/>
        </w:rPr>
        <w:t>主要是对考勤机的添加、编辑、删除、查询，启用和停用设备，以及设备命令集；</w:t>
      </w:r>
    </w:p>
    <w:p>
      <w:pPr>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2.考勤机卡点监控：对考勤机卡点实时上传进行监控，能够在列表中看到实时的考勤数据；</w:t>
      </w:r>
    </w:p>
    <w:p>
      <w:pPr>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3.考勤异常用户：记录异常的考勤信息，如考勤机上有但系统中没有的人员打卡后就会出现在考勤异常用户中，此时可以对异常考勤信息的人员进行处理添加到系统人事管理中。</w:t>
      </w:r>
    </w:p>
    <w:p>
      <w:pPr>
        <w:rPr>
          <w:rFonts w:ascii="仿宋_GB2312" w:hAnsi="仿宋_GB2312" w:eastAsia="仿宋_GB2312" w:cs="仿宋_GB2312"/>
          <w:bCs/>
          <w:sz w:val="32"/>
          <w:szCs w:val="32"/>
        </w:rPr>
      </w:pPr>
      <w:bookmarkStart w:id="5" w:name="_Toc380143208"/>
      <w:r>
        <w:rPr>
          <w:rFonts w:hint="eastAsia" w:ascii="仿宋_GB2312" w:hAnsi="仿宋_GB2312" w:eastAsia="仿宋_GB2312" w:cs="仿宋_GB2312"/>
          <w:b/>
          <w:sz w:val="32"/>
          <w:szCs w:val="32"/>
        </w:rPr>
        <w:t>四、考勤管理</w:t>
      </w:r>
      <w:bookmarkEnd w:id="5"/>
    </w:p>
    <w:p>
      <w:pPr>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1.考勤规则设置：考勤规则包括：节假日（例外日期）、公休日设置、迟到规则，早退规则，旷工规则、加班规则、单位换算等设置，包括个性化规则设置。</w:t>
      </w:r>
    </w:p>
    <w:p>
      <w:pPr>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2.班次管理：包括基本班次和规律班次，基本班次是设置一个单时段或多时段的班次用来制作规律班次或调班。规律班次是将基本班次按天、周方式设置一个规律上班周期。</w:t>
      </w:r>
    </w:p>
    <w:p>
      <w:pPr>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3.排班管理：分为部门排班、班组排班、个人排班，部门排班是为部门设置规律班次，该班次自动应用于此部门的所有继承父部门排班的子部门人员；班组排班可以将不同部门的人员组建一个班组，并为班次设置临时的规律班次；个人排班分为个人排班和个人调班，个人排班可以对某些特殊人员单独设置排班，个人调班是为某些日期临时调换班次用的。</w:t>
      </w:r>
    </w:p>
    <w:p>
      <w:pPr>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4.加班管理：支持管理员导入加班，并支持添加、编辑、删除、查询等功能。</w:t>
      </w:r>
    </w:p>
    <w:p>
      <w:pPr>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5.请假管理：支持管理员输入请假类型，并支持添加、编辑、删除、查询等功能。</w:t>
      </w:r>
    </w:p>
    <w:p>
      <w:pPr>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6.考勤遗漏管理：用于员工漏打卡时的添加，并支持添加、编辑、删除、查询等功能。</w:t>
      </w:r>
    </w:p>
    <w:p>
      <w:pPr>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7.考勤报表分析：包括个人考勤明细、个人考勤汇总、部门考勤明细、部门考勤汇总、员工休假统计、无排班人员报表。支持报表的Excel导出</w:t>
      </w:r>
    </w:p>
    <w:p>
      <w:pPr>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8.员工考勤查询：用以查询员工的考勤情况。</w:t>
      </w:r>
    </w:p>
    <w:p>
      <w:pPr>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9.员工打卡记录查询：用以查询员工的详细打卡记录。</w:t>
      </w:r>
    </w:p>
    <w:p>
      <w:pPr>
        <w:rPr>
          <w:rFonts w:ascii="仿宋_GB2312" w:hAnsi="仿宋_GB2312" w:eastAsia="仿宋_GB2312" w:cs="仿宋_GB2312"/>
          <w:bCs/>
          <w:sz w:val="32"/>
          <w:szCs w:val="32"/>
        </w:rPr>
      </w:pPr>
      <w:bookmarkStart w:id="6" w:name="_Toc380143209"/>
      <w:r>
        <w:rPr>
          <w:rFonts w:hint="eastAsia" w:ascii="仿宋_GB2312" w:hAnsi="仿宋_GB2312" w:eastAsia="仿宋_GB2312" w:cs="仿宋_GB2312"/>
          <w:b/>
          <w:sz w:val="32"/>
          <w:szCs w:val="32"/>
        </w:rPr>
        <w:t>五、系统管理</w:t>
      </w:r>
      <w:bookmarkEnd w:id="6"/>
    </w:p>
    <w:p>
      <w:pPr>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1.系统角色管理：用以建立系统角色并设定相应权限。</w:t>
      </w:r>
    </w:p>
    <w:p>
      <w:pPr>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2.系统用户管理：用以对系统用户赋予角色权限。</w:t>
      </w:r>
    </w:p>
    <w:p>
      <w:pPr>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3.系统日志查询：用以查看系统操作日志。</w:t>
      </w:r>
    </w:p>
    <w:p>
      <w:pPr>
        <w:rPr>
          <w:rFonts w:ascii="仿宋_GB2312" w:hAnsi="仿宋_GB2312" w:eastAsia="仿宋_GB2312" w:cs="仿宋_GB2312"/>
          <w:b/>
          <w:sz w:val="32"/>
          <w:szCs w:val="32"/>
        </w:rPr>
      </w:pPr>
      <w:bookmarkStart w:id="7" w:name="_Toc380143210"/>
      <w:r>
        <w:rPr>
          <w:rFonts w:hint="eastAsia" w:ascii="仿宋_GB2312" w:hAnsi="仿宋_GB2312" w:eastAsia="仿宋_GB2312" w:cs="仿宋_GB2312"/>
          <w:b/>
          <w:sz w:val="32"/>
          <w:szCs w:val="32"/>
        </w:rPr>
        <w:t>六、员工自助</w:t>
      </w:r>
      <w:bookmarkEnd w:id="7"/>
    </w:p>
    <w:p>
      <w:pPr>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员工自助：实现个人考勤查询、个人班次查询及修改密码功能</w:t>
      </w:r>
    </w:p>
    <w:p>
      <w:pPr>
        <w:rPr>
          <w:rFonts w:ascii="仿宋_GB2312" w:hAnsi="仿宋_GB2312" w:eastAsia="仿宋_GB2312" w:cs="仿宋_GB2312"/>
          <w:bCs/>
          <w:sz w:val="32"/>
          <w:szCs w:val="32"/>
        </w:rPr>
      </w:pPr>
      <w:r>
        <w:rPr>
          <w:rFonts w:hint="eastAsia" w:ascii="仿宋_GB2312" w:hAnsi="仿宋_GB2312" w:eastAsia="仿宋_GB2312" w:cs="仿宋_GB2312"/>
          <w:b/>
          <w:sz w:val="32"/>
          <w:szCs w:val="32"/>
        </w:rPr>
        <w:t>七</w:t>
      </w:r>
      <w:r>
        <w:rPr>
          <w:rFonts w:ascii="仿宋_GB2312" w:hAnsi="仿宋_GB2312" w:eastAsia="仿宋_GB2312" w:cs="仿宋_GB2312"/>
          <w:b/>
          <w:sz w:val="32"/>
          <w:szCs w:val="32"/>
        </w:rPr>
        <w:t>、提供二次开发对接</w:t>
      </w:r>
    </w:p>
    <w:p>
      <w:pPr>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允许</w:t>
      </w:r>
      <w:r>
        <w:rPr>
          <w:rFonts w:ascii="仿宋_GB2312" w:hAnsi="仿宋_GB2312" w:eastAsia="仿宋_GB2312" w:cs="仿宋_GB2312"/>
          <w:bCs/>
          <w:sz w:val="32"/>
          <w:szCs w:val="32"/>
        </w:rPr>
        <w:t>做二次开发对接以满足今后与现有系统的</w:t>
      </w:r>
      <w:r>
        <w:rPr>
          <w:rFonts w:hint="eastAsia" w:ascii="仿宋_GB2312" w:hAnsi="仿宋_GB2312" w:eastAsia="仿宋_GB2312" w:cs="仿宋_GB2312"/>
          <w:bCs/>
          <w:sz w:val="32"/>
          <w:szCs w:val="32"/>
        </w:rPr>
        <w:t>无缝</w:t>
      </w:r>
      <w:r>
        <w:rPr>
          <w:rFonts w:ascii="仿宋_GB2312" w:hAnsi="仿宋_GB2312" w:eastAsia="仿宋_GB2312" w:cs="仿宋_GB2312"/>
          <w:bCs/>
          <w:sz w:val="32"/>
          <w:szCs w:val="32"/>
        </w:rPr>
        <w:t>对接。</w:t>
      </w:r>
    </w:p>
    <w:p>
      <w:pPr>
        <w:rPr>
          <w:rFonts w:hint="eastAsia" w:ascii="仿宋_GB2312" w:hAnsi="仿宋_GB2312" w:eastAsia="仿宋_GB2312" w:cs="仿宋_GB2312"/>
          <w:bCs/>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方正小标宋简体">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auto"/>
    <w:pitch w:val="default"/>
    <w:sig w:usb0="80000287" w:usb1="28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A6083"/>
    <w:rsid w:val="001832E4"/>
    <w:rsid w:val="001975FF"/>
    <w:rsid w:val="002275E1"/>
    <w:rsid w:val="002F6892"/>
    <w:rsid w:val="0032663C"/>
    <w:rsid w:val="00341E31"/>
    <w:rsid w:val="003F7567"/>
    <w:rsid w:val="00575F49"/>
    <w:rsid w:val="0062229D"/>
    <w:rsid w:val="00683565"/>
    <w:rsid w:val="006865F6"/>
    <w:rsid w:val="006A296D"/>
    <w:rsid w:val="006B003F"/>
    <w:rsid w:val="006B7DDF"/>
    <w:rsid w:val="006C712F"/>
    <w:rsid w:val="007D6527"/>
    <w:rsid w:val="00835F6A"/>
    <w:rsid w:val="0084532B"/>
    <w:rsid w:val="0089099C"/>
    <w:rsid w:val="008A529D"/>
    <w:rsid w:val="008F4D76"/>
    <w:rsid w:val="009302FA"/>
    <w:rsid w:val="00947D07"/>
    <w:rsid w:val="009A6083"/>
    <w:rsid w:val="00AA47EB"/>
    <w:rsid w:val="00AB3E93"/>
    <w:rsid w:val="00AC2498"/>
    <w:rsid w:val="00B727A9"/>
    <w:rsid w:val="00BD6FCE"/>
    <w:rsid w:val="00BF1ED2"/>
    <w:rsid w:val="00C37A30"/>
    <w:rsid w:val="00C72BAC"/>
    <w:rsid w:val="00CC2CF2"/>
    <w:rsid w:val="00CC72BA"/>
    <w:rsid w:val="00CF5053"/>
    <w:rsid w:val="00D14FB8"/>
    <w:rsid w:val="00D541C6"/>
    <w:rsid w:val="00D56271"/>
    <w:rsid w:val="00D84C02"/>
    <w:rsid w:val="00DA3375"/>
    <w:rsid w:val="00DB799F"/>
    <w:rsid w:val="00E316BF"/>
    <w:rsid w:val="00E557F1"/>
    <w:rsid w:val="00EC2105"/>
    <w:rsid w:val="00EE10E3"/>
    <w:rsid w:val="00EF7712"/>
    <w:rsid w:val="00FE4D5B"/>
    <w:rsid w:val="1C53516B"/>
    <w:rsid w:val="2E6862AE"/>
    <w:rsid w:val="4EFB0A74"/>
    <w:rsid w:val="7B6E29F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99" w:semiHidden="0" w:name="annotation text"/>
    <w:lsdException w:unhideWhenUsed="0"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8">
    <w:name w:val="Default Paragraph Font"/>
    <w:unhideWhenUsed/>
    <w:uiPriority w:val="1"/>
  </w:style>
  <w:style w:type="table" w:default="1" w:styleId="10">
    <w:name w:val="Normal Table"/>
    <w:unhideWhenUsed/>
    <w:uiPriority w:val="99"/>
    <w:tblPr>
      <w:tblLayout w:type="fixed"/>
      <w:tblCellMar>
        <w:top w:w="0" w:type="dxa"/>
        <w:left w:w="108" w:type="dxa"/>
        <w:bottom w:w="0" w:type="dxa"/>
        <w:right w:w="108" w:type="dxa"/>
      </w:tblCellMar>
    </w:tblPr>
  </w:style>
  <w:style w:type="paragraph" w:styleId="2">
    <w:name w:val="annotation subject"/>
    <w:basedOn w:val="3"/>
    <w:next w:val="3"/>
    <w:link w:val="12"/>
    <w:uiPriority w:val="99"/>
    <w:rPr>
      <w:b/>
      <w:bCs/>
    </w:rPr>
  </w:style>
  <w:style w:type="paragraph" w:styleId="3">
    <w:name w:val="annotation text"/>
    <w:basedOn w:val="1"/>
    <w:link w:val="11"/>
    <w:uiPriority w:val="99"/>
    <w:pPr>
      <w:jc w:val="left"/>
    </w:pPr>
  </w:style>
  <w:style w:type="paragraph" w:styleId="4">
    <w:name w:val="Balloon Text"/>
    <w:basedOn w:val="1"/>
    <w:link w:val="13"/>
    <w:uiPriority w:val="99"/>
    <w:rPr>
      <w:sz w:val="18"/>
      <w:szCs w:val="18"/>
    </w:rPr>
  </w:style>
  <w:style w:type="paragraph" w:styleId="5">
    <w:name w:val="footer"/>
    <w:basedOn w:val="1"/>
    <w:link w:val="15"/>
    <w:uiPriority w:val="99"/>
    <w:pPr>
      <w:tabs>
        <w:tab w:val="center" w:pos="4153"/>
        <w:tab w:val="right" w:pos="8306"/>
      </w:tabs>
      <w:snapToGrid w:val="0"/>
      <w:jc w:val="left"/>
    </w:pPr>
    <w:rPr>
      <w:sz w:val="18"/>
      <w:szCs w:val="18"/>
    </w:rPr>
  </w:style>
  <w:style w:type="paragraph" w:styleId="6">
    <w:name w:val="header"/>
    <w:basedOn w:val="1"/>
    <w:link w:val="14"/>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spacing w:beforeAutospacing="1" w:afterAutospacing="1"/>
      <w:jc w:val="left"/>
    </w:pPr>
    <w:rPr>
      <w:kern w:val="0"/>
      <w:sz w:val="24"/>
      <w:szCs w:val="24"/>
    </w:rPr>
  </w:style>
  <w:style w:type="character" w:styleId="9">
    <w:name w:val="annotation reference"/>
    <w:basedOn w:val="8"/>
    <w:uiPriority w:val="99"/>
    <w:rPr>
      <w:sz w:val="21"/>
      <w:szCs w:val="21"/>
    </w:rPr>
  </w:style>
  <w:style w:type="character" w:customStyle="1" w:styleId="11">
    <w:name w:val="批注文字 Char"/>
    <w:basedOn w:val="8"/>
    <w:link w:val="3"/>
    <w:uiPriority w:val="99"/>
    <w:rPr>
      <w:rFonts w:ascii="Calibri" w:hAnsi="Calibri" w:eastAsia="宋体" w:cs="Calibri"/>
      <w:szCs w:val="21"/>
    </w:rPr>
  </w:style>
  <w:style w:type="character" w:customStyle="1" w:styleId="12">
    <w:name w:val="批注主题 Char"/>
    <w:basedOn w:val="11"/>
    <w:link w:val="2"/>
    <w:uiPriority w:val="99"/>
    <w:rPr>
      <w:rFonts w:ascii="Calibri" w:hAnsi="Calibri" w:eastAsia="宋体" w:cs="Calibri"/>
      <w:b/>
      <w:bCs/>
      <w:szCs w:val="21"/>
    </w:rPr>
  </w:style>
  <w:style w:type="character" w:customStyle="1" w:styleId="13">
    <w:name w:val="批注框文本 Char"/>
    <w:basedOn w:val="8"/>
    <w:link w:val="4"/>
    <w:uiPriority w:val="99"/>
    <w:rPr>
      <w:rFonts w:ascii="Calibri" w:hAnsi="Calibri" w:eastAsia="宋体" w:cs="Calibri"/>
      <w:sz w:val="18"/>
      <w:szCs w:val="18"/>
    </w:rPr>
  </w:style>
  <w:style w:type="character" w:customStyle="1" w:styleId="14">
    <w:name w:val="页眉 Char"/>
    <w:basedOn w:val="8"/>
    <w:link w:val="6"/>
    <w:uiPriority w:val="99"/>
    <w:rPr>
      <w:rFonts w:ascii="Calibri" w:hAnsi="Calibri" w:eastAsia="宋体" w:cs="Calibri"/>
      <w:sz w:val="18"/>
      <w:szCs w:val="18"/>
    </w:rPr>
  </w:style>
  <w:style w:type="character" w:customStyle="1" w:styleId="15">
    <w:name w:val="页脚 Char"/>
    <w:basedOn w:val="8"/>
    <w:link w:val="5"/>
    <w:uiPriority w:val="99"/>
    <w:rPr>
      <w:rFonts w:ascii="Calibri" w:hAnsi="Calibri" w:eastAsia="宋体" w:cs="Calibri"/>
      <w:sz w:val="18"/>
      <w:szCs w:val="18"/>
    </w:rPr>
  </w:style>
  <w:style w:type="paragraph" w:customStyle="1" w:styleId="16">
    <w:name w:val="正文缩进_0_0_0"/>
    <w:uiPriority w:val="0"/>
    <w:pPr>
      <w:ind w:firstLine="420"/>
    </w:pPr>
    <w:rPr>
      <w:rFonts w:ascii="Calibri" w:hAnsi="Calibri" w:eastAsia="宋体" w:cs="Times New Roman"/>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Win7w.Com</Company>
  <Pages>7</Pages>
  <Words>398</Words>
  <Characters>2270</Characters>
  <Lines>18</Lines>
  <Paragraphs>5</Paragraphs>
  <TotalTime>0</TotalTime>
  <ScaleCrop>false</ScaleCrop>
  <LinksUpToDate>false</LinksUpToDate>
  <CharactersWithSpaces>2663</CharactersWithSpaces>
  <Application>WPS Office_10.1.0.6750_F1E327BC-269C-435d-A152-05C5408002CA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2017-09-24T08:24:00Z</dcterms:created>
  <dc:creator>admin</dc:creator>
  <cp:lastModifiedBy>zong</cp:lastModifiedBy>
  <dcterms:modified xsi:type="dcterms:W3CDTF">2017-10-09T01:01:46Z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2052-10.1.0.6750</vt:lpwstr>
  </property>
</Properties>
</file>