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60" w:lineRule="exact"/>
        <w:ind w:left="0" w:leftChars="0" w:right="640" w:firstLine="0" w:firstLineChars="0"/>
        <w:rPr>
          <w:rFonts w:ascii="Times New Roman" w:hAnsi="仿宋_GB2312" w:eastAsia="仿宋_GB2312" w:cs="Times New Roman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广州市少年宫采购领导小组办公室作为采购执行机构，就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“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广州市少年宫采购的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“2017年下学期科技活动租车”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网上询价项目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”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网上公开询价，请合格的供应商予以报价。</w:t>
      </w:r>
    </w:p>
    <w:p>
      <w:pPr>
        <w:pStyle w:val="6"/>
        <w:widowControl/>
        <w:numPr>
          <w:ilvl w:val="0"/>
          <w:numId w:val="1"/>
        </w:numPr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</w:pPr>
    </w:p>
    <w:p>
      <w:pPr>
        <w:pStyle w:val="6"/>
        <w:widowControl/>
        <w:numPr>
          <w:ilvl w:val="0"/>
          <w:numId w:val="0"/>
        </w:numPr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KJB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-2017-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011</w:t>
      </w:r>
    </w:p>
    <w:p>
      <w:pPr>
        <w:pStyle w:val="6"/>
        <w:widowControl/>
        <w:numPr>
          <w:ilvl w:val="0"/>
          <w:numId w:val="1"/>
        </w:numPr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、项目名称：广州市少年宫采购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“2017年下学期科技活动租车”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tbl>
      <w:tblPr>
        <w:tblStyle w:val="10"/>
        <w:tblW w:w="8934" w:type="dxa"/>
        <w:tblCellSpacing w:w="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1550"/>
        <w:gridCol w:w="1822"/>
        <w:gridCol w:w="1328"/>
        <w:gridCol w:w="1538"/>
        <w:gridCol w:w="9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项目名称</w:t>
            </w:r>
          </w:p>
        </w:tc>
        <w:tc>
          <w:tcPr>
            <w:tcW w:w="1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数量及单位</w:t>
            </w:r>
          </w:p>
        </w:tc>
        <w:tc>
          <w:tcPr>
            <w:tcW w:w="18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规格技术要求</w:t>
            </w:r>
          </w:p>
        </w:tc>
        <w:tc>
          <w:tcPr>
            <w:tcW w:w="13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单价</w:t>
            </w:r>
            <w:r>
              <w:rPr>
                <w:rFonts w:ascii="Times New Roman" w:hAnsi="仿宋_GB2312" w:eastAsia="仿宋_GB2312" w:cs="Times New Roman"/>
                <w:kern w:val="2"/>
              </w:rPr>
              <w:t>(</w:t>
            </w:r>
            <w:r>
              <w:rPr>
                <w:rFonts w:hint="eastAsia" w:ascii="Times New Roman" w:hAnsi="仿宋_GB2312" w:eastAsia="仿宋_GB2312" w:cs="仿宋_GB2312"/>
                <w:kern w:val="2"/>
              </w:rPr>
              <w:t>元</w:t>
            </w:r>
            <w:r>
              <w:rPr>
                <w:rFonts w:ascii="Times New Roman" w:hAnsi="仿宋_GB2312" w:eastAsia="仿宋_GB2312" w:cs="Times New Roman"/>
                <w:kern w:val="2"/>
              </w:rPr>
              <w:t>)</w:t>
            </w:r>
          </w:p>
        </w:tc>
        <w:tc>
          <w:tcPr>
            <w:tcW w:w="15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总价（元）</w:t>
            </w:r>
          </w:p>
        </w:tc>
        <w:tc>
          <w:tcPr>
            <w:tcW w:w="9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10月28日“珠江水系水足迹”体验活动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一辆37座大巴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租用车辆</w:t>
            </w:r>
            <w:r>
              <w:rPr>
                <w:rFonts w:hint="eastAsia" w:ascii="Times New Roman" w:hAnsi="仿宋_GB2312" w:eastAsia="仿宋_GB2312" w:cs="仿宋_GB2312"/>
                <w:kern w:val="2"/>
                <w:lang w:eastAsia="zh-CN"/>
              </w:rPr>
              <w:t>在广州市内进行奇妙科学班探索</w:t>
            </w:r>
            <w:r>
              <w:rPr>
                <w:rFonts w:hint="eastAsia" w:ascii="Times New Roman" w:hAnsi="仿宋_GB2312" w:eastAsia="仿宋_GB2312" w:cs="仿宋_GB2312"/>
                <w:kern w:val="2"/>
              </w:rPr>
              <w:t>活动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11月5日“珠江水系水足迹”体验活动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一辆37座大巴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租用车辆在广州市内进行奇妙科学班探索活动。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11月5日“蔬菜残留农药检测与健康专题教学活动”。</w:t>
            </w:r>
          </w:p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一辆37座大巴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租车租用车辆在广州市内进行生物环保班探索活动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11月18—19日“越冬斑蝶迁飞标记跟踪调查活动”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一辆37座大巴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租用车辆在广东省深圳市内进行生物环保班探索活动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12月8—10日“冬候鸟观察调查活动”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一辆37座大巴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租用车辆在广东省湛江市内进行生物环保班探索活动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12月16—17日“流星雨观测活动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一辆37座大巴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租用车辆在广东省清远市内进行天文班探索活动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合计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5个活动，6次租车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</w:tr>
    </w:tbl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19000元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6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、交货期：中标后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天内供货完毕交付采购人使用。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、报价方必须提供产品的质量保证说明及售后服务承诺。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货物安装所需的配件或附加件，在合同签订前由成交供应商提交具体清单供采购单位确认。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、售后服务：本批采购要求自交付使用验收合格之日起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年免费保修。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询价响应内容、技术标准、售后服务没有实质性响应询价文件要求。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2017年9月29</w:t>
      </w:r>
      <w:bookmarkStart w:id="0" w:name="_GoBack"/>
      <w:bookmarkEnd w:id="0"/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 xml:space="preserve">日下午5点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，逾时作自动放弃。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2号楼6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楼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科技部601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pStyle w:val="6"/>
        <w:widowControl/>
        <w:spacing w:beforeAutospacing="0" w:afterAutospacing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020-8136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4856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3BDF"/>
    <w:multiLevelType w:val="singleLevel"/>
    <w:tmpl w:val="594B3BD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60723"/>
    <w:rsid w:val="00032211"/>
    <w:rsid w:val="00066BC2"/>
    <w:rsid w:val="00190616"/>
    <w:rsid w:val="001A1C92"/>
    <w:rsid w:val="002B0A49"/>
    <w:rsid w:val="00360E7C"/>
    <w:rsid w:val="003B5735"/>
    <w:rsid w:val="00463B65"/>
    <w:rsid w:val="004D5441"/>
    <w:rsid w:val="00577C09"/>
    <w:rsid w:val="005835BF"/>
    <w:rsid w:val="005E6154"/>
    <w:rsid w:val="00611ABA"/>
    <w:rsid w:val="00656056"/>
    <w:rsid w:val="008F05E9"/>
    <w:rsid w:val="009903F5"/>
    <w:rsid w:val="00A053A7"/>
    <w:rsid w:val="00A560E7"/>
    <w:rsid w:val="00A90ACC"/>
    <w:rsid w:val="00C6215C"/>
    <w:rsid w:val="00D76476"/>
    <w:rsid w:val="00EE21B5"/>
    <w:rsid w:val="00EF4504"/>
    <w:rsid w:val="00F15523"/>
    <w:rsid w:val="00F502CF"/>
    <w:rsid w:val="00F92E00"/>
    <w:rsid w:val="03E911E7"/>
    <w:rsid w:val="047B39AD"/>
    <w:rsid w:val="04AB6636"/>
    <w:rsid w:val="05117FAD"/>
    <w:rsid w:val="05331173"/>
    <w:rsid w:val="07DF2649"/>
    <w:rsid w:val="088008F8"/>
    <w:rsid w:val="08AE00D8"/>
    <w:rsid w:val="08D101EC"/>
    <w:rsid w:val="097F3D01"/>
    <w:rsid w:val="0CA06684"/>
    <w:rsid w:val="0E001D6E"/>
    <w:rsid w:val="0E5E440D"/>
    <w:rsid w:val="14E1327C"/>
    <w:rsid w:val="14FA5F5E"/>
    <w:rsid w:val="16300BFF"/>
    <w:rsid w:val="170C19AF"/>
    <w:rsid w:val="187B4459"/>
    <w:rsid w:val="18D60723"/>
    <w:rsid w:val="1AA54F23"/>
    <w:rsid w:val="1DBE4F96"/>
    <w:rsid w:val="1FC405B7"/>
    <w:rsid w:val="203C67CE"/>
    <w:rsid w:val="20BA33AF"/>
    <w:rsid w:val="214F60EA"/>
    <w:rsid w:val="215B25A0"/>
    <w:rsid w:val="21B566E7"/>
    <w:rsid w:val="26A3747F"/>
    <w:rsid w:val="27E87DBE"/>
    <w:rsid w:val="2BA2580C"/>
    <w:rsid w:val="2BEF6535"/>
    <w:rsid w:val="30C52091"/>
    <w:rsid w:val="33780A34"/>
    <w:rsid w:val="349F3610"/>
    <w:rsid w:val="351C1D50"/>
    <w:rsid w:val="355973AB"/>
    <w:rsid w:val="36AD753C"/>
    <w:rsid w:val="37AB0C33"/>
    <w:rsid w:val="39C93655"/>
    <w:rsid w:val="3A971F71"/>
    <w:rsid w:val="409858DA"/>
    <w:rsid w:val="43AA7AB8"/>
    <w:rsid w:val="43F81D88"/>
    <w:rsid w:val="44C83558"/>
    <w:rsid w:val="45EE0BA7"/>
    <w:rsid w:val="4A3D0417"/>
    <w:rsid w:val="4BE7700E"/>
    <w:rsid w:val="4E370D6E"/>
    <w:rsid w:val="50284CC1"/>
    <w:rsid w:val="58E6245F"/>
    <w:rsid w:val="5A5B3128"/>
    <w:rsid w:val="63394EE2"/>
    <w:rsid w:val="66E516DA"/>
    <w:rsid w:val="674443C4"/>
    <w:rsid w:val="6A5978DC"/>
    <w:rsid w:val="6A6755A9"/>
    <w:rsid w:val="6B6D4DED"/>
    <w:rsid w:val="6C534959"/>
    <w:rsid w:val="70837526"/>
    <w:rsid w:val="732D3826"/>
    <w:rsid w:val="73FE7CD4"/>
    <w:rsid w:val="74076869"/>
    <w:rsid w:val="75DE49BC"/>
    <w:rsid w:val="7821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3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1">
    <w:name w:val="Plain Text Char"/>
    <w:basedOn w:val="7"/>
    <w:link w:val="2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2">
    <w:name w:val="Footer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  <w:style w:type="character" w:customStyle="1" w:styleId="16">
    <w:name w:val="Date Char"/>
    <w:basedOn w:val="7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HTML Preformatted Char"/>
    <w:basedOn w:val="7"/>
    <w:link w:val="5"/>
    <w:semiHidden/>
    <w:qFormat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12</Pages>
  <Words>632</Words>
  <Characters>3604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2017-06-01T10:01:00Z</dcterms:created>
  <dc:creator>pzf</dc:creator>
  <cp:lastModifiedBy>zong</cp:lastModifiedBy>
  <cp:lastPrinted>2017-06-22T03:46:00Z</cp:lastPrinted>
  <dcterms:modified xsi:type="dcterms:W3CDTF">2017-09-24T09:20:59Z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