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7" w:rsidRDefault="00656EAA">
      <w:pPr>
        <w:pStyle w:val="a5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EA4DC7" w:rsidRDefault="00235F9C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</w:t>
      </w:r>
      <w:r w:rsidR="00656EAA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</w:t>
      </w:r>
      <w:r w:rsidRPr="007E3C9A"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广州市少年宫美术培训部</w:t>
      </w:r>
      <w:r w:rsidRPr="00332F90">
        <w:rPr>
          <w:rFonts w:ascii="Times New Roman" w:eastAsia="仿宋_GB2312" w:hAnsi="仿宋_GB2312" w:cs="仿宋_GB2312" w:hint="eastAsia"/>
          <w:kern w:val="2"/>
          <w:sz w:val="32"/>
          <w:szCs w:val="32"/>
        </w:rPr>
        <w:t>西关模型设计制作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的网上询价项目</w:t>
      </w:r>
      <w:r w:rsidR="00656EAA">
        <w:rPr>
          <w:rFonts w:ascii="Times New Roman" w:eastAsia="仿宋_GB2312" w:hAnsi="仿宋_GB2312" w:cs="仿宋_GB2312" w:hint="eastAsia"/>
          <w:kern w:val="2"/>
          <w:sz w:val="32"/>
          <w:szCs w:val="32"/>
        </w:rPr>
        <w:t>进行询价，请合格的供应商予以报价。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GZSSNG-WSXJ-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MSB</w:t>
      </w:r>
      <w:r w:rsidR="00235F9C">
        <w:rPr>
          <w:rFonts w:ascii="Times New Roman" w:eastAsia="仿宋_GB2312" w:hAnsi="仿宋_GB2312" w:cs="Times New Roman"/>
          <w:kern w:val="2"/>
          <w:sz w:val="32"/>
          <w:szCs w:val="32"/>
        </w:rPr>
        <w:t>-2017-00</w:t>
      </w:r>
      <w:r w:rsidR="00235F9C">
        <w:rPr>
          <w:rFonts w:ascii="Times New Roman" w:eastAsia="仿宋_GB2312" w:hAnsi="仿宋_GB2312" w:cs="Times New Roman" w:hint="eastAsia"/>
          <w:kern w:val="2"/>
          <w:sz w:val="32"/>
          <w:szCs w:val="32"/>
        </w:rPr>
        <w:t>3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="00235F9C" w:rsidRPr="007E3C9A"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广州市少年宫美术培训部</w:t>
      </w:r>
      <w:r w:rsidR="00235F9C" w:rsidRPr="00332F90">
        <w:rPr>
          <w:rFonts w:ascii="Times New Roman" w:eastAsia="仿宋_GB2312" w:hAnsi="仿宋_GB2312" w:cs="仿宋_GB2312" w:hint="eastAsia"/>
          <w:kern w:val="2"/>
          <w:sz w:val="32"/>
          <w:szCs w:val="32"/>
        </w:rPr>
        <w:t>西关模型设计制作</w:t>
      </w:r>
      <w:r w:rsidR="00235F9C">
        <w:rPr>
          <w:rFonts w:ascii="Times New Roman" w:eastAsia="仿宋_GB2312" w:hAnsi="仿宋_GB2312" w:cs="仿宋_GB2312" w:hint="eastAsia"/>
          <w:kern w:val="2"/>
          <w:sz w:val="32"/>
          <w:szCs w:val="32"/>
        </w:rPr>
        <w:t>的网上询价项目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W w:w="9049" w:type="dxa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8"/>
        <w:gridCol w:w="1631"/>
        <w:gridCol w:w="2498"/>
        <w:gridCol w:w="974"/>
        <w:gridCol w:w="1275"/>
        <w:gridCol w:w="993"/>
      </w:tblGrid>
      <w:tr w:rsidR="00EA4DC7" w:rsidTr="00DE1282"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项目名称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数量及单位</w:t>
            </w:r>
          </w:p>
        </w:tc>
        <w:tc>
          <w:tcPr>
            <w:tcW w:w="249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规格技术要求</w:t>
            </w:r>
          </w:p>
        </w:tc>
        <w:tc>
          <w:tcPr>
            <w:tcW w:w="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单价</w:t>
            </w:r>
            <w:r>
              <w:rPr>
                <w:rFonts w:ascii="Times New Roman" w:eastAsia="仿宋_GB2312" w:hAnsi="仿宋_GB2312" w:cs="Times New Roman"/>
                <w:kern w:val="2"/>
              </w:rPr>
              <w:t>(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元</w:t>
            </w:r>
            <w:r>
              <w:rPr>
                <w:rFonts w:ascii="Times New Roman" w:eastAsia="仿宋_GB2312" w:hAnsi="仿宋_GB2312" w:cs="Times New Roman"/>
                <w:kern w:val="2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总价（元）</w:t>
            </w:r>
          </w:p>
        </w:tc>
        <w:tc>
          <w:tcPr>
            <w:tcW w:w="99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备注</w:t>
            </w:r>
          </w:p>
        </w:tc>
      </w:tr>
      <w:tr w:rsidR="00EA4DC7" w:rsidTr="00DE1282"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235F9C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 w:rsidRPr="00332F90">
              <w:rPr>
                <w:rFonts w:ascii="Times New Roman" w:eastAsia="仿宋_GB2312" w:hAnsi="仿宋_GB2312" w:cs="仿宋_GB2312" w:hint="eastAsia"/>
                <w:kern w:val="2"/>
                <w:sz w:val="32"/>
                <w:szCs w:val="32"/>
              </w:rPr>
              <w:t>西关模型设计制作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 w:rsidP="00656EAA">
            <w:pPr>
              <w:pStyle w:val="a5"/>
              <w:widowControl/>
              <w:spacing w:beforeAutospacing="0" w:afterAutospacing="0" w:line="450" w:lineRule="atLeast"/>
              <w:jc w:val="center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1</w:t>
            </w:r>
            <w:bookmarkStart w:id="0" w:name="_GoBack"/>
            <w:bookmarkEnd w:id="0"/>
            <w:r w:rsidR="00235F9C">
              <w:rPr>
                <w:rFonts w:ascii="Times New Roman" w:eastAsia="仿宋_GB2312" w:hAnsi="仿宋_GB2312" w:cs="Times New Roman" w:hint="eastAsia"/>
                <w:kern w:val="2"/>
              </w:rPr>
              <w:t>套</w:t>
            </w:r>
          </w:p>
        </w:tc>
        <w:tc>
          <w:tcPr>
            <w:tcW w:w="249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235F9C" w:rsidP="00235F9C">
            <w:pPr>
              <w:pStyle w:val="a5"/>
              <w:widowControl/>
              <w:spacing w:beforeAutospacing="0" w:afterAutospacing="0" w:line="240" w:lineRule="exact"/>
              <w:rPr>
                <w:rFonts w:ascii="Kaiti SC Regular" w:eastAsia="Kaiti SC Regular" w:hAnsi="Kaiti SC Regular" w:cs="微软雅黑"/>
                <w:bCs/>
                <w:sz w:val="21"/>
                <w:szCs w:val="21"/>
              </w:rPr>
            </w:pPr>
            <w:r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1、</w:t>
            </w:r>
            <w:r w:rsidRPr="00235F9C"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采用ABS（1.0 mm—2.0mm）</w:t>
            </w:r>
            <w:r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材料制作，激光切割机和雕刻机配合使用，氧化无缝制作，高度平整，亮光白色表现</w:t>
            </w:r>
          </w:p>
          <w:p w:rsidR="00235F9C" w:rsidRPr="00235F9C" w:rsidRDefault="00235F9C" w:rsidP="006466CF">
            <w:pPr>
              <w:pStyle w:val="a5"/>
              <w:widowControl/>
              <w:spacing w:beforeAutospacing="0" w:afterAutospacing="0" w:line="2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35F9C"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2、</w:t>
            </w:r>
            <w:r w:rsidR="006466CF"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模型</w:t>
            </w:r>
            <w:r w:rsidRPr="00235F9C"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尺寸</w:t>
            </w:r>
            <w:r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不得超过</w:t>
            </w:r>
            <w:r w:rsidRPr="00235F9C">
              <w:rPr>
                <w:rFonts w:ascii="Kaiti SC Regular" w:eastAsia="Kaiti SC Regular" w:hAnsi="Kaiti SC Regular" w:cs="微软雅黑" w:hint="eastAsia"/>
                <w:bCs/>
                <w:sz w:val="21"/>
                <w:szCs w:val="21"/>
              </w:rPr>
              <w:t>1.8*1*0.8*1.5米</w:t>
            </w:r>
          </w:p>
        </w:tc>
        <w:tc>
          <w:tcPr>
            <w:tcW w:w="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EA4DC7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235F9C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17400</w:t>
            </w:r>
          </w:p>
        </w:tc>
        <w:tc>
          <w:tcPr>
            <w:tcW w:w="99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EA4DC7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EA4DC7" w:rsidTr="00DE1282">
        <w:trPr>
          <w:tblCellSpacing w:w="0" w:type="dxa"/>
        </w:trPr>
        <w:tc>
          <w:tcPr>
            <w:tcW w:w="167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656EAA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合计</w:t>
            </w:r>
          </w:p>
        </w:tc>
        <w:tc>
          <w:tcPr>
            <w:tcW w:w="163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EA4DC7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249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EA4DC7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EA4DC7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EA4DC7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9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A4DC7" w:rsidRDefault="00EA4DC7">
            <w:pPr>
              <w:pStyle w:val="a5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</w:tbl>
    <w:p w:rsidR="00EA4DC7" w:rsidRDefault="00EA4DC7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235F9C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17400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.00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、交货期：中标后</w:t>
      </w:r>
      <w:r w:rsidR="00235F9C"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天内供货完毕交付采购人使用。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lastRenderedPageBreak/>
        <w:t>11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、报价方必须提供产品的质量保证说明及售后服务承诺。</w:t>
      </w:r>
    </w:p>
    <w:p w:rsidR="00235F9C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货物安装所需的配件或附加件，在合同签订前由成交供应商提交具体清单供采购单位确认。</w:t>
      </w:r>
    </w:p>
    <w:p w:rsidR="00235F9C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、售后服务：本采购要求询价响应供应商</w:t>
      </w:r>
      <w:r w:rsidR="00DE1282">
        <w:rPr>
          <w:rFonts w:ascii="Times New Roman" w:eastAsia="仿宋_GB2312" w:hAnsi="仿宋_GB2312" w:cs="仿宋_GB2312" w:hint="eastAsia"/>
          <w:kern w:val="2"/>
          <w:sz w:val="32"/>
          <w:szCs w:val="32"/>
        </w:rPr>
        <w:t>需要满足</w:t>
      </w:r>
      <w:r w:rsidR="00DE1282">
        <w:rPr>
          <w:rFonts w:ascii="Times New Roman" w:eastAsia="仿宋_GB2312" w:hAnsi="仿宋_GB2312" w:cs="仿宋_GB2312"/>
          <w:kern w:val="2"/>
          <w:sz w:val="32"/>
          <w:szCs w:val="32"/>
        </w:rPr>
        <w:t>采购方在</w:t>
      </w:r>
      <w:r w:rsidR="00235F9C">
        <w:rPr>
          <w:rFonts w:ascii="Times New Roman" w:eastAsia="仿宋_GB2312" w:hAnsi="仿宋_GB2312" w:cs="仿宋_GB2312" w:hint="eastAsia"/>
          <w:kern w:val="2"/>
          <w:sz w:val="32"/>
          <w:szCs w:val="32"/>
        </w:rPr>
        <w:t>模型制作过程中尺寸要求范围内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的修改要求</w:t>
      </w:r>
      <w:r w:rsidR="00E8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；采购金额需包含模型制作、运输安装等费用；</w:t>
      </w:r>
      <w:r w:rsidR="00E83EDB" w:rsidRPr="00E8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除</w:t>
      </w:r>
      <w:r w:rsidR="00E8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采购方</w:t>
      </w:r>
      <w:r w:rsidR="00E83EDB" w:rsidRPr="00E8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对工艺要求有重大变更，价格不可因采用工艺要求不同而任意调整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hyperlink r:id="rId7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E83EDB">
        <w:rPr>
          <w:rFonts w:ascii="Times New Roman" w:eastAsia="仿宋_GB2312" w:hAnsi="仿宋_GB2312" w:cs="Times New Roman" w:hint="eastAsia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871051">
        <w:rPr>
          <w:rFonts w:ascii="Times New Roman" w:eastAsia="仿宋_GB2312" w:hAnsi="仿宋_GB2312" w:cs="Times New Roman" w:hint="eastAsia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日上午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地点：广州市越秀区东风西路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号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楼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406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室。</w:t>
      </w:r>
    </w:p>
    <w:p w:rsidR="00EA4DC7" w:rsidRDefault="00656EA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37857016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联系人：曾老师</w:t>
      </w:r>
    </w:p>
    <w:p w:rsidR="00EA4DC7" w:rsidRDefault="00EA4DC7"/>
    <w:sectPr w:rsidR="00EA4DC7" w:rsidSect="009E61D9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82" w:rsidRDefault="00DE1282" w:rsidP="00DE1282">
      <w:r>
        <w:separator/>
      </w:r>
    </w:p>
  </w:endnote>
  <w:endnote w:type="continuationSeparator" w:id="1">
    <w:p w:rsidR="00DE1282" w:rsidRDefault="00DE1282" w:rsidP="00DE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Kaiti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82" w:rsidRDefault="00DE1282" w:rsidP="00DE1282">
      <w:r>
        <w:separator/>
      </w:r>
    </w:p>
  </w:footnote>
  <w:footnote w:type="continuationSeparator" w:id="1">
    <w:p w:rsidR="00DE1282" w:rsidRDefault="00DE1282" w:rsidP="00DE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B2C33"/>
    <w:rsid w:val="000216FE"/>
    <w:rsid w:val="001325A0"/>
    <w:rsid w:val="00136450"/>
    <w:rsid w:val="001A2FEB"/>
    <w:rsid w:val="00235F9C"/>
    <w:rsid w:val="00322444"/>
    <w:rsid w:val="00367DC0"/>
    <w:rsid w:val="003973BF"/>
    <w:rsid w:val="00433D7B"/>
    <w:rsid w:val="004B71F7"/>
    <w:rsid w:val="004B79EC"/>
    <w:rsid w:val="006466CF"/>
    <w:rsid w:val="00656EAA"/>
    <w:rsid w:val="00780841"/>
    <w:rsid w:val="00871051"/>
    <w:rsid w:val="00887DB1"/>
    <w:rsid w:val="008D1A3B"/>
    <w:rsid w:val="009E61D9"/>
    <w:rsid w:val="00C9117B"/>
    <w:rsid w:val="00DB4DC5"/>
    <w:rsid w:val="00DE1282"/>
    <w:rsid w:val="00E83EDB"/>
    <w:rsid w:val="00E876F5"/>
    <w:rsid w:val="00EA4DC7"/>
    <w:rsid w:val="00EB2C33"/>
    <w:rsid w:val="00F85647"/>
    <w:rsid w:val="00FD2401"/>
    <w:rsid w:val="0D094CA8"/>
    <w:rsid w:val="222B79D4"/>
    <w:rsid w:val="74B7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D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6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6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9E61D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E61D9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E61D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211</Words>
  <Characters>1208</Characters>
  <Application>Microsoft Office Word</Application>
  <DocSecurity>0</DocSecurity>
  <Lines>10</Lines>
  <Paragraphs>2</Paragraphs>
  <ScaleCrop>false</ScaleCrop>
  <Company>P R C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306SF1</dc:creator>
  <cp:lastModifiedBy>China</cp:lastModifiedBy>
  <cp:revision>7</cp:revision>
  <cp:lastPrinted>2017-06-16T01:40:00Z</cp:lastPrinted>
  <dcterms:created xsi:type="dcterms:W3CDTF">2017-07-19T15:02:00Z</dcterms:created>
  <dcterms:modified xsi:type="dcterms:W3CDTF">2017-09-20T08:42:00Z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