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 w:line="56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广州市少年宫树木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安全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状况评估询价通知书</w:t>
      </w:r>
    </w:p>
    <w:p>
      <w:pPr>
        <w:pStyle w:val="2"/>
        <w:adjustRightInd w:val="0"/>
        <w:snapToGrid w:val="0"/>
        <w:spacing w:beforeAutospacing="0" w:afterAutospacing="0" w:line="560" w:lineRule="atLeas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adjustRightInd w:val="0"/>
        <w:snapToGrid w:val="0"/>
        <w:spacing w:beforeAutospacing="0" w:afterAutospacing="0" w:line="560" w:lineRule="atLeast"/>
        <w:rPr>
          <w:rFonts w:hint="eastAsia" w:ascii="仿宋_GB2312" w:hAns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各单位：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4" w:firstLineChars="220"/>
        <w:rPr>
          <w:rFonts w:hint="eastAsia" w:ascii="仿宋_GB2312" w:hAns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本单位就广州市少年宫树木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状况评估的造价咨询服务进行网上询价，请合格的供应商予以造价咨询服务的报价。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4" w:firstLineChars="220"/>
        <w:rPr>
          <w:rFonts w:hint="eastAsia" w:ascii="仿宋_GB2312" w:hAns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项目编号：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</w:rPr>
        <w:t>GZSSNG-WSXJ-BGS-2017-00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/>
        </w:rPr>
        <w:t>7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4" w:firstLineChars="220"/>
        <w:rPr>
          <w:rFonts w:hint="eastAsia" w:ascii="仿宋_GB2312" w:hAns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项目名称：广州市少年宫树木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状况评估报告的造价咨询服务进行网上询价项目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4" w:firstLineChars="22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32"/>
        </w:rPr>
        <w:t>3．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项目内容：</w:t>
      </w:r>
    </w:p>
    <w:tbl>
      <w:tblPr>
        <w:tblStyle w:val="5"/>
        <w:tblpPr w:leftFromText="180" w:rightFromText="180" w:vertAnchor="text" w:horzAnchor="page" w:tblpXSpec="center" w:tblpY="227"/>
        <w:tblOverlap w:val="never"/>
        <w:tblW w:w="7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37"/>
        <w:gridCol w:w="838"/>
        <w:gridCol w:w="850"/>
        <w:gridCol w:w="912"/>
        <w:gridCol w:w="738"/>
        <w:gridCol w:w="775"/>
        <w:gridCol w:w="675"/>
        <w:gridCol w:w="762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树木名称</w:t>
            </w:r>
          </w:p>
        </w:tc>
        <w:tc>
          <w:tcPr>
            <w:tcW w:w="6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大叶榕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水蒲桃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假柿木姜子</w:t>
            </w:r>
          </w:p>
        </w:tc>
        <w:tc>
          <w:tcPr>
            <w:tcW w:w="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美丽异木棉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白兰</w:t>
            </w: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凤凰木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宫粉紫荆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龙眼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6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株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株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株</w:t>
            </w:r>
          </w:p>
        </w:tc>
        <w:tc>
          <w:tcPr>
            <w:tcW w:w="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株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株</w:t>
            </w: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株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株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株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6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</w:tr>
    </w:tbl>
    <w:p>
      <w:pPr>
        <w:pStyle w:val="2"/>
        <w:adjustRightInd w:val="0"/>
        <w:snapToGrid w:val="0"/>
        <w:spacing w:beforeAutospacing="0" w:afterAutospacing="0" w:line="560" w:lineRule="atLeast"/>
        <w:ind w:firstLine="704" w:firstLineChars="22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项目预算上限：￥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100000.00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元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5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合格的供应商应具备公告中列明的所有资格要求。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6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符合条件的，均可在自愿遵守本询价采购要求的前提下进行报价</w:t>
      </w:r>
      <w:r>
        <w:rPr>
          <w:rFonts w:hint="eastAsia" w:ascii="Times New Roman" w:hAnsi="仿宋_GB2312" w:eastAsia="仿宋_GB2312" w:cs="仿宋_GB2312"/>
          <w:color w:val="FF0000"/>
          <w:kern w:val="2"/>
          <w:sz w:val="32"/>
          <w:szCs w:val="32"/>
          <w:lang w:eastAsia="zh-CN"/>
        </w:rPr>
        <w:t>（报价文件格式请联系少年宫吴老师领取，不得自行设计）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，并要求被询价的供应商一次性报出不得更改的价格。对于不符合以上要求的供应商所递交的报价文件，恕不接受。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7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采购方式：询价采购。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8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本次询价为整体采购，询价响应供应商报价时须写明单价及总价、产品的详细配置参数，投标报价包含运输、售后服务及技术培训等交付采购人使用前所有可能发生的费用，包含操作人员培训、税收以及售后服务等费用，定标后不再增补任何费用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9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交货期：中标后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30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天内供货完毕交付采购人使用。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10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供货地点：广州市少年宫内采购人指定的地点。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11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报价方必须提供产品的质量保证说明及售后服务承诺。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在合同签订前由成交供应商提交具体清单供采购单位确认。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12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采购方在确定成交供应商后有权对成交产品的款式规格做适当调整。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color w:val="FF0000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13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售后服务：</w:t>
      </w:r>
      <w:r>
        <w:rPr>
          <w:rFonts w:hint="eastAsia" w:ascii="Times New Roman" w:hAnsi="仿宋_GB2312" w:eastAsia="仿宋_GB2312" w:cs="仿宋_GB2312"/>
          <w:color w:val="FF0000"/>
          <w:kern w:val="2"/>
          <w:sz w:val="32"/>
          <w:szCs w:val="32"/>
          <w:lang w:eastAsia="zh-CN"/>
        </w:rPr>
        <w:t>配合业主单位对评估报告进行跟踪及技术指导</w:t>
      </w:r>
      <w:r>
        <w:rPr>
          <w:rFonts w:hint="eastAsia" w:ascii="Times New Roman" w:hAnsi="仿宋_GB2312" w:eastAsia="仿宋_GB2312" w:cs="仿宋_GB2312"/>
          <w:color w:val="FF0000"/>
          <w:kern w:val="2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14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报价方不得虚报各项技术指标，若不能符合技术要求，成交供应商必须接受全额退还货款，并承担由此给采购单位造成的</w:t>
      </w:r>
      <w:r>
        <w:fldChar w:fldCharType="begin"/>
      </w:r>
      <w:r>
        <w:instrText xml:space="preserve">HYPERLINK "http://www.lwlm.com/Economy/" \t "http://www.lwlm.com/zixunxin/201211/_blank"</w:instrText>
      </w:r>
      <w:r>
        <w:fldChar w:fldCharType="separate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经济</w:t>
      </w:r>
      <w:r>
        <w:fldChar w:fldCharType="end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损失。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15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评审、定标原则：在所有的询价文件符合或高于询价采购文件各项要求的情况下，报价最低者为成交供应商；在此基础上报价若相同的，以售后服务承诺最优者为成交供应商。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16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验收方法及标准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）验收依据：询价通知书、询价报价、询价响应文件、厂家货物技术标准说明及国家有关的质量标准规定，均为验收依据。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）验收：报告提交后采购人处后由双方对照服务清单及技术要求进行验收。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17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出现下列情况之一者，投标文件无效，作为废标处理：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）未提供营业执照有效复印件（加盖投标企业公章）。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）询价响应文件字迹模糊不清（包括提交的各类复印件、图纸）。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）询价响应内容、技术标准、售后服务没有实质性响应询价文件要求。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）未提供询价响应文件、报价一览表。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18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询价项目报价文件提交的时间及地点：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时间：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2017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日上午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分，逾时作自动放弃。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地点：广州市越秀区东风西路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号广州市少年宫1号楼二楼。</w:t>
      </w:r>
    </w:p>
    <w:p>
      <w:pPr>
        <w:pStyle w:val="2"/>
        <w:adjustRightInd w:val="0"/>
        <w:snapToGrid w:val="0"/>
        <w:spacing w:beforeAutospacing="0" w:afterAutospacing="0" w:line="560" w:lineRule="atLeast"/>
        <w:ind w:firstLine="707" w:firstLineChars="221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项目咨询电话：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020-8136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1361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  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联系人：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吴老师</w:t>
      </w:r>
    </w:p>
    <w:p/>
    <w:p/>
    <w:sectPr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6158F"/>
    <w:rsid w:val="1E705DD8"/>
    <w:rsid w:val="3106158F"/>
    <w:rsid w:val="6B475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2017-07-22T14:03:00Z</dcterms:created>
  <dc:creator>Administrator</dc:creator>
  <cp:lastModifiedBy>zong</cp:lastModifiedBy>
  <dcterms:modified xsi:type="dcterms:W3CDTF">2017-07-28T04:45:04Z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