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60" w:lineRule="exact"/>
        <w:ind w:right="640" w:firstLine="0" w:firstLineChars="0"/>
        <w:rPr>
          <w:rFonts w:ascii="Times New Roman" w:hAns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7"/>
        <w:widowControl/>
        <w:spacing w:beforeAutospacing="0" w:afterAutospacing="0" w:line="45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询价通知书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各单位：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 xml:space="preserve">    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广州市少年宫采购领导小组办公室作为采购执行机构，就</w:t>
      </w:r>
      <w:r>
        <w:rPr>
          <w:rFonts w:hint="eastAsia" w:ascii="仿宋_GB2312" w:hAnsi="新宋体" w:eastAsia="仿宋_GB2312" w:cs="宋体"/>
          <w:color w:val="333333"/>
          <w:sz w:val="28"/>
          <w:szCs w:val="28"/>
        </w:rPr>
        <w:t>“语言培训部宣传制作”的服务类采购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进行网上公开询价。具体如下：</w:t>
      </w:r>
    </w:p>
    <w:p>
      <w:pPr>
        <w:pStyle w:val="7"/>
        <w:widowControl/>
        <w:spacing w:beforeAutospacing="0" w:afterAutospacing="0" w:line="450" w:lineRule="atLeast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Times New Roman"/>
          <w:kern w:val="2"/>
          <w:sz w:val="28"/>
          <w:szCs w:val="28"/>
        </w:rPr>
        <w:t xml:space="preserve"> 1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、项目编号：</w:t>
      </w:r>
      <w:r>
        <w:rPr>
          <w:rFonts w:hint="eastAsia" w:ascii="仿宋_GB2312" w:hAnsi="仿宋_GB2312" w:eastAsia="仿宋_GB2312" w:cs="Times New Roman"/>
          <w:kern w:val="2"/>
          <w:sz w:val="28"/>
          <w:szCs w:val="28"/>
        </w:rPr>
        <w:t>GZSSNG-WSXJ-YYB-2017-002</w:t>
      </w:r>
    </w:p>
    <w:p>
      <w:pPr>
        <w:pStyle w:val="7"/>
        <w:widowControl/>
        <w:spacing w:beforeAutospacing="0" w:afterAutospacing="0" w:line="450" w:lineRule="atLeast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Times New Roman"/>
          <w:kern w:val="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、项目名称：</w:t>
      </w:r>
      <w:r>
        <w:rPr>
          <w:rFonts w:hint="eastAsia" w:ascii="仿宋_GB2312" w:hAnsi="新宋体" w:eastAsia="仿宋_GB2312" w:cs="宋体"/>
          <w:color w:val="333333"/>
          <w:sz w:val="28"/>
          <w:szCs w:val="28"/>
        </w:rPr>
        <w:t>语言培训部宣传制作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的网上询价项目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、项目内容：</w:t>
      </w:r>
    </w:p>
    <w:tbl>
      <w:tblPr>
        <w:tblStyle w:val="12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86"/>
        <w:gridCol w:w="1134"/>
        <w:gridCol w:w="708"/>
        <w:gridCol w:w="3686"/>
        <w:gridCol w:w="709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  <w:b/>
                <w:bCs/>
              </w:rPr>
            </w:pPr>
            <w:r>
              <w:rPr>
                <w:rFonts w:hint="eastAsia" w:ascii="Times New Roman" w:hAnsi="仿宋_GB2312" w:eastAsia="仿宋_GB2312" w:cs="Times New Roman"/>
                <w:b/>
                <w:bCs/>
              </w:rPr>
              <w:t>序号</w:t>
            </w: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  <w:b/>
                <w:bCs/>
              </w:rPr>
            </w:pPr>
            <w:r>
              <w:rPr>
                <w:rFonts w:hint="eastAsia" w:ascii="Times New Roman" w:hAnsi="仿宋_GB2312" w:eastAsia="仿宋_GB2312" w:cs="Times New Roman"/>
                <w:b/>
                <w:bCs/>
              </w:rPr>
              <w:t>项目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  <w:b/>
                <w:bCs/>
              </w:rPr>
            </w:pPr>
            <w:r>
              <w:rPr>
                <w:rFonts w:hint="eastAsia" w:ascii="Times New Roman" w:hAnsi="仿宋_GB2312" w:eastAsia="仿宋_GB2312" w:cs="Times New Roman"/>
                <w:b/>
                <w:bCs/>
              </w:rPr>
              <w:t>内容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  <w:b/>
                <w:bCs/>
              </w:rPr>
            </w:pPr>
            <w:r>
              <w:rPr>
                <w:rFonts w:hint="eastAsia" w:ascii="Times New Roman" w:hAnsi="仿宋_GB2312" w:eastAsia="仿宋_GB2312" w:cs="Times New Roman"/>
                <w:b/>
                <w:bCs/>
              </w:rPr>
              <w:t>地点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  <w:b/>
                <w:bCs/>
              </w:rPr>
            </w:pPr>
            <w:r>
              <w:rPr>
                <w:rFonts w:hint="eastAsia" w:ascii="Times New Roman" w:hAnsi="仿宋_GB2312" w:eastAsia="仿宋_GB2312" w:cs="Times New Roman"/>
                <w:b/>
                <w:bCs/>
              </w:rPr>
              <w:t>规格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  <w:b/>
                <w:bCs/>
              </w:rPr>
            </w:pPr>
            <w:r>
              <w:rPr>
                <w:rFonts w:hint="eastAsia" w:ascii="Times New Roman" w:hAnsi="仿宋_GB2312" w:eastAsia="仿宋_GB2312" w:cs="Times New Roman"/>
                <w:b/>
                <w:bCs/>
              </w:rPr>
              <w:t>数量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  <w:b/>
                <w:bCs/>
              </w:rPr>
            </w:pPr>
            <w:r>
              <w:rPr>
                <w:rFonts w:hint="eastAsia" w:ascii="Times New Roman" w:hAnsi="仿宋_GB2312" w:eastAsia="仿宋_GB2312" w:cs="Times New Roman"/>
                <w:b/>
                <w:bCs/>
              </w:rPr>
              <w:t>单位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  <w:b/>
                <w:bCs/>
              </w:rPr>
            </w:pPr>
            <w:r>
              <w:rPr>
                <w:rFonts w:hint="eastAsia" w:ascii="Times New Roman" w:hAnsi="仿宋_GB2312" w:eastAsia="仿宋_GB2312" w:cs="Times New Roman"/>
                <w:b/>
                <w:bCs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部门活动宣传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单张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A3 250g铜版纸 双面彩色印刷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1000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二宫四楼走廊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宣传栏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90cm×55cm 灯箱片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3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教学、活动宣传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宣传展架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1.8×0.8 相纸（门型架用）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6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1.8×0.8 门型架架子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4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个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4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外语课室门前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课程表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131cm×89.5cm 可移动背胶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206.5cm×108.5cm 可移动背胶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154cm×128cm 可移动背胶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一、二宫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5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外语一宫走廊宣传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活动宣传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600cm×111.5cm 可移动背胶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课程介绍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490cm×111.5cm 可移动背胶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6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文学一宫橱窗宣传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活动宣传（一楼）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135cm×230cm 铝塑板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块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135cm×230cm 可移动背胶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活动宣传（二楼）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150cm×420m 相纸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 xml:space="preserve">  课程介绍（二楼）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150cm×214cm 相纸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7</w:t>
            </w: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文学走廊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大型课程表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151cm×171cm 可移动背胶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</w:t>
            </w: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文学走廊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告示牌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A3 异形 可移动背胶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5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9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文学办公室门前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告示牌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30cm×40cm 亚克力 丝印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块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10</w:t>
            </w: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文学课室门前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告示牌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A3 可移动背胶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3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11</w:t>
            </w: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文学课室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班别名称牌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6cm×17cm 安迪板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200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块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12</w:t>
            </w: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文学课室门前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课程表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A4 180g铜版纸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13</w:t>
            </w: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文学课室门前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可插入式水晶告示牌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可插入A4大小纸张 亚克力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6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个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14</w:t>
            </w:r>
          </w:p>
        </w:tc>
        <w:tc>
          <w:tcPr>
            <w:tcW w:w="19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文学教学用图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A4 250g铜版纸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50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15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穿街过巷睇广州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大展架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250cm×545cm（四边需加15cm出血，即280cm×575cm） 灯布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244cm×366cm（四边需加15cm出血，即274cm×396cm）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一、二宫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16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采贝小屋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宣传架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80cm×180 cm 相纸（门型架用）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4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80cm×181 cm 门型架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个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大展架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250cm×375cm（四边需加15cm出血，即280cm×405cm） 灯布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3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海报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42.2cm×58.1cm 相纸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10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3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19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读者剧场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宣传架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80cm×180cm 相纸（门型架用）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80cm×180 cm 门型架子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1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个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20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外语沙龙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背景板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一宫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250cm×250 cm（四边需加10cm出血，即270cm×270cm） 灯布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4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宣传架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80cm×180cm 相纸（门型架用）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4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80cm×180 cm 门型架子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个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海报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80cm×45 cm 相纸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4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21</w:t>
            </w:r>
          </w:p>
        </w:tc>
        <w:tc>
          <w:tcPr>
            <w:tcW w:w="1986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英悦角</w:t>
            </w: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大展架</w:t>
            </w:r>
          </w:p>
        </w:tc>
        <w:tc>
          <w:tcPr>
            <w:tcW w:w="708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二宫</w:t>
            </w: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250cm×500cm（需四边加15cm出血，即280cm×530cm） 灯布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3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宣传架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80cm×180cm 相纸（门型架用）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4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张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80cm×180 cm 门型架子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2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个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986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  <w:tc>
          <w:tcPr>
            <w:tcW w:w="708" w:type="dxa"/>
            <w:vMerge w:val="continue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</w:p>
        </w:tc>
        <w:tc>
          <w:tcPr>
            <w:tcW w:w="3686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安装及运送</w:t>
            </w:r>
          </w:p>
        </w:tc>
        <w:tc>
          <w:tcPr>
            <w:tcW w:w="709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3</w:t>
            </w:r>
          </w:p>
        </w:tc>
        <w:tc>
          <w:tcPr>
            <w:tcW w:w="708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次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39" w:type="dxa"/>
            <w:gridSpan w:val="7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合计：</w:t>
            </w:r>
          </w:p>
        </w:tc>
        <w:tc>
          <w:tcPr>
            <w:tcW w:w="851" w:type="dxa"/>
          </w:tcPr>
          <w:p>
            <w:pPr>
              <w:pStyle w:val="7"/>
              <w:widowControl/>
              <w:spacing w:line="450" w:lineRule="atLeast"/>
              <w:rPr>
                <w:rFonts w:ascii="Times New Roman" w:hAnsi="仿宋_GB2312" w:eastAsia="仿宋_GB2312" w:cs="Times New Roman"/>
              </w:rPr>
            </w:pPr>
            <w:r>
              <w:rPr>
                <w:rFonts w:hint="eastAsia" w:ascii="Times New Roman" w:hAnsi="仿宋_GB2312" w:eastAsia="仿宋_GB2312" w:cs="Times New Roman"/>
              </w:rPr>
              <w:t>　</w:t>
            </w:r>
          </w:p>
        </w:tc>
      </w:tr>
    </w:tbl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4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、项目预算上限：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42000元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5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、合格的供应商应具备公告中列明的所有资格要求。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6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7"/>
        <w:widowControl/>
        <w:spacing w:beforeAutospacing="0" w:afterAutospacing="0" w:line="450" w:lineRule="atLeast"/>
        <w:rPr>
          <w:rFonts w:ascii="宋体" w:cs="Times New Roman"/>
          <w:color w:val="000000"/>
          <w:sz w:val="28"/>
          <w:szCs w:val="28"/>
          <w:shd w:val="clear" w:color="auto" w:fill="FDFAF5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7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、采购方式：询价采购。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8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本次询价为整体采购，询价响应供应商报价时须写明单价及总价、产品的详细配置参数，投标报价包含货物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9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、交货期：中标后按采购人使用时间交付采购人使用。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10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、供货地点：广州市少年宫内采购人指定的地点。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11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、报价方必须提供产品的质量保证说明及售后服务承诺。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货物安装所需的配件或附加件，在合同签订前由成交供应商提交具体清单供采购单位确认。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12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、采购方在确定成交供应商后有权对成交产品的款式规格做适当调整。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13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、售后服务：本批采购要求自交付使用验收合格之日起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1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年免费保修。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14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、报价方不得虚报各项技术指标，所供货物若不能符合技术要求，成交供应商必须接受全额退还货款，并承担由此给采购单位造成的</w:t>
      </w:r>
      <w:r>
        <w:fldChar w:fldCharType="begin"/>
      </w:r>
      <w:r>
        <w:instrText xml:space="preserve"> HYPERLINK "http://www.lwlm.com/Economy/" \t "http://www.lwlm.com/zixunxin/201211/_blank" </w:instrText>
      </w:r>
      <w:r>
        <w:fldChar w:fldCharType="separate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经济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fldChar w:fldCharType="end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损失。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15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、评审、定标原则：在所有的询价文件符合或高于询价采购文件各项要求的情况下，报价最低者为成交供应商；在此基础上报价若相同的，以售后服务承诺最优者为成交供应商。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16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、验收方法及标准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）、验收依据：询价通知书、询价报价、询价响应文件、厂家货物技术标准说明及国家有关的质量标准规定，均为验收依据。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2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）货物验收：货物运抵采购人处后由双方对照采购清单及技术要求进行验收。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17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、出现下列情况之一者，投标文件无效，作为废标处理：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）未提供营业执照有效复印件（加盖投标企业公章）。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2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）询价响应文件字迹模糊不清（包括提交的各类复印件、图纸）。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3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 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询价响应内容、技术标准、售后服务没有实质性响应询价文件要求。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4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）未提供询价响应文件、报价一览表、售后服务体系说明及售后服务承诺。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18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、询价项目报价文件提交的时间及地点：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时间：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2017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年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7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25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日上午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9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时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00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分，逾时作自动放弃。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地点：广州市越秀区东风西路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167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号广州市少年宫5号楼4楼语言部办公室。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项目咨询电话：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020-8136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5880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  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联系人：林老师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7"/>
        <w:widowControl/>
        <w:spacing w:beforeAutospacing="0" w:afterAutospacing="0" w:line="450" w:lineRule="atLeas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60723"/>
    <w:rsid w:val="00032211"/>
    <w:rsid w:val="00066BC2"/>
    <w:rsid w:val="000B037C"/>
    <w:rsid w:val="00190616"/>
    <w:rsid w:val="001A1C92"/>
    <w:rsid w:val="00264404"/>
    <w:rsid w:val="002B0A49"/>
    <w:rsid w:val="00360E7C"/>
    <w:rsid w:val="003B5735"/>
    <w:rsid w:val="00463B65"/>
    <w:rsid w:val="004D5441"/>
    <w:rsid w:val="00577C09"/>
    <w:rsid w:val="005835BF"/>
    <w:rsid w:val="005E6154"/>
    <w:rsid w:val="00611ABA"/>
    <w:rsid w:val="00624D3E"/>
    <w:rsid w:val="00656056"/>
    <w:rsid w:val="0081266F"/>
    <w:rsid w:val="008F05E9"/>
    <w:rsid w:val="009903F5"/>
    <w:rsid w:val="009C2411"/>
    <w:rsid w:val="00A053A7"/>
    <w:rsid w:val="00A560E7"/>
    <w:rsid w:val="00A90ACC"/>
    <w:rsid w:val="00B61B0B"/>
    <w:rsid w:val="00B80448"/>
    <w:rsid w:val="00C6215C"/>
    <w:rsid w:val="00D76476"/>
    <w:rsid w:val="00DC620E"/>
    <w:rsid w:val="00E6283E"/>
    <w:rsid w:val="00E86582"/>
    <w:rsid w:val="00E9126B"/>
    <w:rsid w:val="00EE21B5"/>
    <w:rsid w:val="00EF4504"/>
    <w:rsid w:val="00F06369"/>
    <w:rsid w:val="00F15523"/>
    <w:rsid w:val="00F502CF"/>
    <w:rsid w:val="00F92E00"/>
    <w:rsid w:val="00F9497C"/>
    <w:rsid w:val="00FE7C64"/>
    <w:rsid w:val="047B39AD"/>
    <w:rsid w:val="05117FAD"/>
    <w:rsid w:val="05331173"/>
    <w:rsid w:val="08AE00D8"/>
    <w:rsid w:val="08D101EC"/>
    <w:rsid w:val="097F3D01"/>
    <w:rsid w:val="0A031F71"/>
    <w:rsid w:val="0CA06684"/>
    <w:rsid w:val="0E5E440D"/>
    <w:rsid w:val="14E1327C"/>
    <w:rsid w:val="14FA5F5E"/>
    <w:rsid w:val="187B4459"/>
    <w:rsid w:val="18D60723"/>
    <w:rsid w:val="1AA54F23"/>
    <w:rsid w:val="1DBE4F96"/>
    <w:rsid w:val="1FC405B7"/>
    <w:rsid w:val="203C67CE"/>
    <w:rsid w:val="20BA33AF"/>
    <w:rsid w:val="214F60EA"/>
    <w:rsid w:val="215B25A0"/>
    <w:rsid w:val="26A3747F"/>
    <w:rsid w:val="27E87DBE"/>
    <w:rsid w:val="2BEF6535"/>
    <w:rsid w:val="30C52091"/>
    <w:rsid w:val="355973AB"/>
    <w:rsid w:val="37AB0C33"/>
    <w:rsid w:val="3A971F71"/>
    <w:rsid w:val="409858DA"/>
    <w:rsid w:val="43F81D88"/>
    <w:rsid w:val="45EE0BA7"/>
    <w:rsid w:val="58E6245F"/>
    <w:rsid w:val="5A5B3128"/>
    <w:rsid w:val="66E516DA"/>
    <w:rsid w:val="6A5978DC"/>
    <w:rsid w:val="6C534959"/>
    <w:rsid w:val="70837526"/>
    <w:rsid w:val="782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table" w:styleId="12">
    <w:name w:val="Table Grid"/>
    <w:basedOn w:val="11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纯文本 Char"/>
    <w:basedOn w:val="8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列出段落2"/>
    <w:basedOn w:val="1"/>
    <w:qFormat/>
    <w:uiPriority w:val="99"/>
    <w:pPr>
      <w:ind w:firstLine="420" w:firstLineChars="200"/>
    </w:pPr>
  </w:style>
  <w:style w:type="paragraph" w:customStyle="1" w:styleId="17">
    <w:name w:val="List Paragraph1"/>
    <w:basedOn w:val="1"/>
    <w:qFormat/>
    <w:uiPriority w:val="99"/>
    <w:pPr>
      <w:ind w:firstLine="420" w:firstLineChars="200"/>
    </w:pPr>
  </w:style>
  <w:style w:type="character" w:customStyle="1" w:styleId="18">
    <w:name w:val="日期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9">
    <w:name w:val="HTML 预设格式 Char"/>
    <w:basedOn w:val="8"/>
    <w:link w:val="6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20">
    <w:name w:val="页眉 Char"/>
    <w:basedOn w:val="8"/>
    <w:link w:val="5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421</Words>
  <Characters>2403</Characters>
  <Lines>20</Lines>
  <Paragraphs>5</Paragraphs>
  <TotalTime>0</TotalTime>
  <ScaleCrop>false</ScaleCrop>
  <LinksUpToDate>false</LinksUpToDate>
  <CharactersWithSpaces>2819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2017-07-17T07:27:00Z</dcterms:created>
  <dc:creator>pzf</dc:creator>
  <cp:lastModifiedBy>zong</cp:lastModifiedBy>
  <cp:lastPrinted>2017-06-18T07:17:00Z</cp:lastPrinted>
  <dcterms:modified xsi:type="dcterms:W3CDTF">2017-07-18T07:18:55Z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